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Васильеву А.С.</w:t>
      </w:r>
    </w:p>
    <w:p>
      <w:pPr>
        <w:suppressAutoHyphens w:val="true"/>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 Москва, ул. Косыгина, д. 1, кв. 3</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Департамент экономики и инвестиций Администрации Тутаевского муниципального района </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Ярославской области</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152300, </w:t>
      </w:r>
      <w:r>
        <w:rPr>
          <w:rFonts w:ascii="Times New Roman" w:hAnsi="Times New Roman" w:cs="Times New Roman" w:eastAsia="Times New Roman"/>
          <w:color w:val="auto"/>
          <w:spacing w:val="0"/>
          <w:position w:val="0"/>
          <w:sz w:val="26"/>
          <w:shd w:fill="auto" w:val="clear"/>
        </w:rPr>
        <w:t xml:space="preserve">Ярославская область, </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 Тутаев,  ул. Кирова, 35</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Муниципальное учреждение </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Отдел строительства и капитального ремонта" Тутаевского муниципального района Ярославской области</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152300, </w:t>
      </w:r>
      <w:r>
        <w:rPr>
          <w:rFonts w:ascii="Times New Roman" w:hAnsi="Times New Roman" w:cs="Times New Roman" w:eastAsia="Times New Roman"/>
          <w:color w:val="auto"/>
          <w:spacing w:val="0"/>
          <w:position w:val="0"/>
          <w:sz w:val="26"/>
          <w:shd w:fill="auto" w:val="clear"/>
        </w:rPr>
        <w:t xml:space="preserve">Ярославская область, </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 Тутаев, проспект 50-летия Победы, д.11</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Оператор торговой площадки:</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115184, </w:t>
      </w:r>
      <w:r>
        <w:rPr>
          <w:rFonts w:ascii="Times New Roman" w:hAnsi="Times New Roman" w:cs="Times New Roman" w:eastAsia="Times New Roman"/>
          <w:color w:val="auto"/>
          <w:spacing w:val="0"/>
          <w:position w:val="0"/>
          <w:sz w:val="26"/>
          <w:shd w:fill="auto" w:val="clear"/>
        </w:rPr>
        <w:t xml:space="preserve">г. Москва, </w:t>
      </w:r>
    </w:p>
    <w:p>
      <w:pPr>
        <w:spacing w:before="0" w:after="0" w:line="240"/>
        <w:ind w:right="0" w:left="5387"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ул. Большая Татарская, д.9.</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 делу о нарушении законодательства о размещении заказов</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05-02/199</w:t>
      </w:r>
      <w:r>
        <w:rPr>
          <w:rFonts w:ascii="Times New Roman" w:hAnsi="Times New Roman" w:cs="Times New Roman" w:eastAsia="Times New Roman"/>
          <w:b/>
          <w:color w:val="auto"/>
          <w:spacing w:val="0"/>
          <w:position w:val="0"/>
          <w:sz w:val="26"/>
          <w:shd w:fill="auto" w:val="clear"/>
        </w:rPr>
        <w:t xml:space="preserve">Ж-13</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Резолютивная часть решения объявлена 13 августа  2013 года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0"/>
          <w:shd w:fill="auto" w:val="clear"/>
        </w:rPr>
        <w:t xml:space="preserve">Решение изготовлено в полном объеме 16 августа  2013 года                                                                            г. Ярославль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Управления Федеральной антимонопольной службы по Ярославской области по контролю в сфере размещения заказов (далее – Комиссия) в составе: председатель Комиссии – заместитель руководителя управления Паутов И.Г., члены Комиссии – главный специалист-эксперт отдела контроля размещения государственного заказа Разумов И.В., государственный инспектор отдела контроля размещения государственного заказа Запольская 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участием: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заявитель – Васильев Александр Сергеевич, извещенный о дате и времени рассмотрения жалобы, на рассмотрение жалобы не явился, представителя не направил;</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заказчик –  Муниципального учреждения "Отдел строительства и капитального ремонта" Тутаевского муниципального района   –  извещенный о дате и времени рассмотрения жалобы, на рассмотрение жалобы не явился, просил рассмотреть жалобу в отсутствии представителя;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уполномоченный орган - Департамент экономики и инвестиций Администрации Тутаевского муниципального района,  извещенного о дате и времени рассмотрения жалобы, на рассмотрение жалобы представителя не направил;</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оператор электронной площадки - 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извещенный о дате и времени рассмотрения жалобы, на рассмотрение жалобы представителя не направил,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жалобу Васильева А.С. на действия заказчика - Муниципального учреждения "Отдел строительства и капитального ремонта" Тутаевского муниципального района, уполномоченного органа  — Департамента экономики и инвестиций Администрации Тутаевского муниципального района, при проведении открытого аукциона в электронной форме на право заключения контракта на выполнение работ по реконструкции детского сада по ул. Дементьева в г. Тутаеве Ярославской области (2-й этап) (извещение № 0171300007813000154)</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также – Аукцион) и в результате проведения внеплановой проверки в соответствии со статьей 17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также - Федеральный закон от 21.07.2005 № 94-ФЗ, Закон),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установила: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Управление Федеральной антимонопольной службы по Ярославской области (Ярославское УФАС России) поступила жалоба Заявителя на действия Заказчика, Уполномоченного органа при проведении открытого аукциона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В жалобе заявитель указывает на то, что выполнение специальных работ (пожарно-охранная сигнализация) технологически и функционально не связано с работами,  являющимися предметом торгов, которые требуют наличие у частников размещения заказа лицензии, то есть, по мнению заявителя, заказчик неправомерно объединил в один лот работы по организации реконструкции здания (функции заказчика-застройщика), работы по монтажу средств пожарной безопасности и поставку товаров, что влечет к ограничению числа участников размещения заказа. Кроме того, заказчиком нарушена часть 4 статьи 41.7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Изучив представленные документы и материалы дела, Комиссия приходит к следующим выводам.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Уполномоченным органом  на официальном сайте Российской Федерации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размещения информации о размещении заказов на поставки товаров, выполнение работ, оказание услуг www.zakupki.gov.ru 19.07.2013г. размещено извещение № 0171300007813000154 о проведении открытого аукциона в электронной форме право заключения контракта на выполнение работ по реконструкции детского сада по ул. Дементьева в г. Тутаеве Ярославской области (2-й этап).</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Начальная (максимальная) цена: 23 693</w:t>
      </w:r>
      <w:r>
        <w:rPr>
          <w:rFonts w:ascii="Times New Roman" w:hAnsi="Times New Roman" w:cs="Times New Roman" w:eastAsia="Times New Roman"/>
          <w:color w:val="auto"/>
          <w:spacing w:val="0"/>
          <w:position w:val="0"/>
          <w:sz w:val="26"/>
          <w:shd w:fill="auto" w:val="clear"/>
        </w:rPr>
        <w:t xml:space="preserve"> 388 </w:t>
      </w:r>
      <w:r>
        <w:rPr>
          <w:rFonts w:ascii="Times New Roman" w:hAnsi="Times New Roman" w:cs="Times New Roman" w:eastAsia="Times New Roman"/>
          <w:color w:val="auto"/>
          <w:spacing w:val="0"/>
          <w:position w:val="0"/>
          <w:sz w:val="26"/>
          <w:shd w:fill="auto" w:val="clear"/>
        </w:rPr>
        <w:t xml:space="preserve">руб. 00 коп. Заказчиком является Муниципальное учреждение "Отдел строительства и капитального ремонта" Тутаевского муниципального района.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статье 5 Федерального закона от 21.07.2005 № 94-ФЗ 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силу статьи 10 Федерального закона от 21.07.2005 № 94-ФЗ размещение заказа может осуществляться путем проведения торгов в форме конкурса, аукциона, в том числе аукциона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главой 3.1 Федерального закона от 21.07.2005 № 94-ФЗ (статья 41.1 Федерального закона от 21.07.2005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1 статьи 41.6 Федерального закона от 21.07.2005 № 94-ФЗ документация об открытом аукционе в электронной форме должна соответствовать требованиям, предусмотренным частями 1 – 3.2 и 4.1 – 6 статьи 34 Федерального закона от 21.07.2005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 (часть 1 статьи 34 Федерального закона от 21.07.2005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Данный Аукцион проводился в интересах заказчика – Муниципального учреждения "Отдел строительства и капитального ремонта", предмет Аукциона определялся исходя из потребностей Муниципального  учреждения "Отдел строительства и капитального ремонта".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Согласно  части 5 статьи 41.6 Федерального закона от 21.07.2005 г. № 94- документация об открытом аукционе в электронной форме должна содержать требования к участникам размещения заказа, установленные в соответствии со статьей 11 Федерального закона от 21.07.2005 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пунктом 1 части 1 статьи 11 Федерального закона от 21.07.2005 г. № 94-ФЗ при размещении заказа путем проведения торгов устанавливаются обязательные требования, устанавливаемые в соответствии с законодательством Российской Федерации к лицам, осуществляющим выполнение работ, оказание услуг, являющихся предметом торгов.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Частью 4 статьи 11 Федерального закона от 21.07.2005 г. № 94-ФЗ установлено, что кроме указанных в частях 1 - 3 настоящей статьи требований и установленных в соответствии со статьей 55.3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 этом согласно части 3 статьи 52 Градостроительного кодекса Российской Федерации лицо, осуществляющее строительство, реконструкцию, капитальный ремонт объекта капитального строительства (далее - работы по организации строительства),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частью 3.1 статьи 52 Градостроительного кодекса Российской Федерации в случае, если работы по организация строительства, реконструкция, капитальный ремонт объекта капитального строительства включены в установленный в части 4 статьи 55.8 настоящего кодекса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реконструкцию, капитальный ремонт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части 4 статьи  55.8 ГрК РФ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пунктом 33.3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Минрегионразвития от 30.12.2009 № 624, работы по организации капитального ремонта объектов жилищно-гражданского строительства оказывают влияние на безопасность объектов капитального строительства.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Однако согласно подпункту 3 пункта 16 раздела 2 Информационной карты аукционной документации  было установлено следующее: свидетельство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на следующие виды  работ, согласно перечня видов работ  утвержденного Приказом Министерства регионального развития Российской Федерации от 30.12.2009 №  624 : п.п. 2.1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Инженерно-геологическая съемка в масштабах 1:500 - 1:25000</w:t>
      </w:r>
      <w:r>
        <w:rPr>
          <w:rFonts w:ascii="Times New Roman" w:hAnsi="Times New Roman" w:cs="Times New Roman" w:eastAsia="Times New Roman"/>
          <w:color w:val="auto"/>
          <w:spacing w:val="0"/>
          <w:position w:val="0"/>
          <w:sz w:val="26"/>
          <w:shd w:fill="auto" w:val="clear"/>
        </w:rPr>
        <w:t xml:space="preserve">», 2.4 «</w:t>
      </w:r>
      <w:r>
        <w:rPr>
          <w:rFonts w:ascii="Times New Roman" w:hAnsi="Times New Roman" w:cs="Times New Roman" w:eastAsia="Times New Roman"/>
          <w:color w:val="auto"/>
          <w:spacing w:val="0"/>
          <w:position w:val="0"/>
          <w:sz w:val="26"/>
          <w:shd w:fill="auto" w:val="clear"/>
        </w:rPr>
        <w:t xml:space="preserve">Гидрогеологические исследования</w:t>
      </w:r>
      <w:r>
        <w:rPr>
          <w:rFonts w:ascii="Times New Roman" w:hAnsi="Times New Roman" w:cs="Times New Roman" w:eastAsia="Times New Roman"/>
          <w:color w:val="auto"/>
          <w:spacing w:val="0"/>
          <w:position w:val="0"/>
          <w:sz w:val="26"/>
          <w:shd w:fill="auto" w:val="clear"/>
        </w:rPr>
        <w:t xml:space="preserve">», 13.2 «</w:t>
      </w:r>
      <w:r>
        <w:rPr>
          <w:rFonts w:ascii="Times New Roman" w:hAnsi="Times New Roman" w:cs="Times New Roman" w:eastAsia="Times New Roman"/>
          <w:color w:val="auto"/>
          <w:spacing w:val="0"/>
          <w:position w:val="0"/>
          <w:sz w:val="26"/>
          <w:shd w:fill="auto" w:val="clear"/>
        </w:rPr>
        <w:t xml:space="preserve">Устройство кровель из штучных и листовых материалов</w:t>
      </w:r>
      <w:r>
        <w:rPr>
          <w:rFonts w:ascii="Times New Roman" w:hAnsi="Times New Roman" w:cs="Times New Roman" w:eastAsia="Times New Roman"/>
          <w:color w:val="auto"/>
          <w:spacing w:val="0"/>
          <w:position w:val="0"/>
          <w:sz w:val="26"/>
          <w:shd w:fill="auto" w:val="clear"/>
        </w:rPr>
        <w:t xml:space="preserve">», 24.7 «</w:t>
      </w:r>
      <w:r>
        <w:rPr>
          <w:rFonts w:ascii="Times New Roman" w:hAnsi="Times New Roman" w:cs="Times New Roman" w:eastAsia="Times New Roman"/>
          <w:color w:val="auto"/>
          <w:spacing w:val="0"/>
          <w:position w:val="0"/>
          <w:sz w:val="26"/>
          <w:shd w:fill="auto" w:val="clear"/>
        </w:rPr>
        <w:t xml:space="preserve">Пусконаладочные работы автоматики в электроснабжении</w:t>
      </w:r>
      <w:r>
        <w:rPr>
          <w:rFonts w:ascii="Times New Roman" w:hAnsi="Times New Roman" w:cs="Times New Roman" w:eastAsia="Times New Roman"/>
          <w:color w:val="auto"/>
          <w:spacing w:val="0"/>
          <w:position w:val="0"/>
          <w:sz w:val="26"/>
          <w:shd w:fill="auto" w:val="clear"/>
        </w:rPr>
        <w:t xml:space="preserve">», 24.12 «</w:t>
      </w:r>
      <w:r>
        <w:rPr>
          <w:rFonts w:ascii="Times New Roman" w:hAnsi="Times New Roman" w:cs="Times New Roman" w:eastAsia="Times New Roman"/>
          <w:color w:val="auto"/>
          <w:spacing w:val="0"/>
          <w:position w:val="0"/>
          <w:sz w:val="26"/>
          <w:shd w:fill="auto" w:val="clear"/>
        </w:rPr>
        <w:t xml:space="preserve">Пусконаладочные работы комплексной наладки систем</w:t>
      </w:r>
      <w:r>
        <w:rPr>
          <w:rFonts w:ascii="Times New Roman" w:hAnsi="Times New Roman" w:cs="Times New Roman" w:eastAsia="Times New Roman"/>
          <w:color w:val="auto"/>
          <w:spacing w:val="0"/>
          <w:position w:val="0"/>
          <w:sz w:val="26"/>
          <w:shd w:fill="auto" w:val="clear"/>
        </w:rPr>
        <w:t xml:space="preserve">», 33.3 «</w:t>
      </w:r>
      <w:r>
        <w:rPr>
          <w:rFonts w:ascii="Times New Roman" w:hAnsi="Times New Roman" w:cs="Times New Roman" w:eastAsia="Times New Roman"/>
          <w:color w:val="auto"/>
          <w:spacing w:val="0"/>
          <w:position w:val="0"/>
          <w:sz w:val="26"/>
          <w:shd w:fill="auto" w:val="clear"/>
        </w:rPr>
        <w:t xml:space="preserve">Жилищно-гражданское строительство</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наличие дополнительных условий, установленных в аукционной документации, а именно наличие в  свидетельстве, предусмотренных   пп.21;2.4;13.2;24.7;24.12 работ, согласно перечня утвержденного</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Приказом Министерства регионального развития Российской Федерации от 30.12.2009 №  624  является недопустимым.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пункту 2.1  раздела 3 Технического задания являющегося неотъемлемой частью документации требуется выполнить работы по реконструкции детского сада в соответствии с перечнем и объемом работ, а также наименованием и качественными характеристиками используемых материалов, установленных проектно-сметной документацией. Объединение в один лот строительных работ с иными работами или услугами, допускается в случае, если такие работы или услуги являются технологическими или функционально связанными со строительными работами. Товарные рынки строительных работ и работ по монтажу охранной, пожарной сигнализации являются самостоятельными рынками. Указанные работы выполняются хозяйствующими субъектами, к деятельности которых предъявляются различные требования: выполнения строительных работ – наличие свидетельства о допуске к работам, выданного саморегулируемой организацией; для оказания услуг по монтажу пожарной сигнализации – наличие действующей лицензии, выданной Министерством РФ по делам гражданской обороны, чрезвычайным ситуациям и ликвидации последствий стихийных бедствий.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Заказчик, объединив в один лот  работы по капитальному ремонту помещений, работы монтажу средств пожарной безопасности, и поставки товаров являющиеся разными видами экономической деятельности, различными товарными рынками  и требующие от участников размещения заказа привлечения качественно различных экономических, организационных и правовых ресурсов, нарушил часть 3.1 статьи 34 Федерального закона от 21.07.2005 г. № 94-ФЗ.</w:t>
      </w:r>
    </w:p>
    <w:p>
      <w:pPr>
        <w:spacing w:before="0" w:after="0" w:line="240"/>
        <w:ind w:right="0" w:left="0" w:firstLine="851"/>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4 статьи 41.7 Федерального закона от 21.07.2005 г. № 94-ФЗ в течение двух дней со дня поступления от оператора электронной площадки указанного в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части 3</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05.08.2013 </w:t>
      </w:r>
      <w:r>
        <w:rPr>
          <w:rFonts w:ascii="Times New Roman" w:hAnsi="Times New Roman" w:cs="Times New Roman" w:eastAsia="Times New Roman"/>
          <w:color w:val="auto"/>
          <w:spacing w:val="0"/>
          <w:position w:val="0"/>
          <w:sz w:val="26"/>
          <w:shd w:fill="auto" w:val="clear"/>
        </w:rPr>
        <w:t xml:space="preserve">на официальном сайте уполномоченным органом – Департаментом экономики и инвестиций Администрации Тутаевского муниципального района Ярославской области по данному Аукциону были размещены разъяснения положений документации об открытом аукционе в электронной форме, в котором отсутствует ссылка на сам предмет запроса, что является нарушением части 4 статьи 41.7 Федерального закона от 21.07.2005 г.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изложенного, и руководствуясь, частью 6 статьи 60 Федерального закона от 21.07.2005г.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Административным регламентом, утвержденным приказом ФАС России от 24.07.2012г. № 498, Комиссия Ярославского УФАС России по контролю в сфере размещения заказов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решила: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Признать жалобу Васильева А.С. на действия заказчика - Муниципального учреждения "Отдел строительства и капитального ремонта" Тутаевского муниципального района, уполномоченного органа  — Департамента экономики и инвестиций Администрации Тутаевского муниципального района, при проведении открытого аукциона в электронной форме на право заключения контракта на выполнение работ по реконструкции детского сада по ул. Дементьева в г. Тутаеве Ярославской области (2-й этап) (извещение № 0171300007813000154) 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Признать заказчика – Муниципальное  учреждение "Отдел строительства и капитального ремонта" Тутаевского муниципального района, уполномоченный орган  — Департамента экономики и инвестиций Администрации Тутаевского муниципального района -  нарушившими часть 3.1 статьи 34, часть 4 статьи 11, часть 5 статьи 41.6 Федерального закона от 21.07.2005г.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Признать уполномоченный орган  — Департамент экономики и инвестиций Администрации Тутаевского муниципального района -  нарушившим часть 4 статьи 41.7 Федерального закона от 21.07.2005г.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Предписание об устранении выявленных нарушений не выдавать, в связи с выдачей предписания по данному Аукциону на основании решения по делу № 05-02/195ж-13 по жалобе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Комета-Плюс</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Настоящее решение может быть обжаловано в судебном порядке в течение трех месяцев со дня его принятия.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Комиссии                                                                                             И.Г. Паутов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Комиссии                                                                                                         И.В. Разумов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 Запольская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результате проведения внеплановой проверки размещения данного Аукциона Комиссия установила следующее.</w:t>
      </w:r>
    </w:p>
    <w:p>
      <w:pPr>
        <w:spacing w:before="0" w:after="0" w:line="240"/>
        <w:ind w:right="0" w:left="0" w:firstLine="708"/>
        <w:jc w:val="both"/>
        <w:rPr>
          <w:rFonts w:ascii="Times New Roman" w:hAnsi="Times New Roman" w:cs="Times New Roman" w:eastAsia="Times New Roman"/>
          <w:color w:val="auto"/>
          <w:spacing w:val="0"/>
          <w:position w:val="0"/>
          <w:sz w:val="26"/>
          <w:shd w:fill="FFFF00" w:val="clear"/>
        </w:rPr>
      </w:pPr>
      <w:r>
        <w:rPr>
          <w:rFonts w:ascii="Times New Roman" w:hAnsi="Times New Roman" w:cs="Times New Roman" w:eastAsia="Times New Roman"/>
          <w:color w:val="auto"/>
          <w:spacing w:val="0"/>
          <w:position w:val="0"/>
          <w:sz w:val="26"/>
          <w:shd w:fill="FFFF00" w:val="clear"/>
        </w:rPr>
        <w:t xml:space="preserve">Согласно частей 3, 3.1 статьи 34 Закона о размещении заказов,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w:t>
      </w:r>
      <w:r>
        <w:rPr>
          <w:rFonts w:ascii="Times New Roman" w:hAnsi="Times New Roman" w:cs="Times New Roman" w:eastAsia="Times New Roman"/>
          <w:b/>
          <w:color w:val="auto"/>
          <w:spacing w:val="0"/>
          <w:position w:val="0"/>
          <w:sz w:val="26"/>
          <w:shd w:fill="FFFF00" w:val="clear"/>
        </w:rPr>
        <w:t xml:space="preserve">"или эквивалент"</w:t>
      </w:r>
      <w:r>
        <w:rPr>
          <w:rFonts w:ascii="Times New Roman" w:hAnsi="Times New Roman" w:cs="Times New Roman" w:eastAsia="Times New Roman"/>
          <w:color w:val="auto"/>
          <w:spacing w:val="0"/>
          <w:position w:val="0"/>
          <w:sz w:val="26"/>
          <w:shd w:fill="FFFF00" w:val="clear"/>
        </w:rPr>
        <w:t xml:space="preserve">,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w:t>
      </w:r>
      <w:r>
        <w:rPr>
          <w:rFonts w:ascii="Times New Roman" w:hAnsi="Times New Roman" w:cs="Times New Roman" w:eastAsia="Times New Roman"/>
          <w:b/>
          <w:color w:val="auto"/>
          <w:spacing w:val="0"/>
          <w:position w:val="0"/>
          <w:sz w:val="26"/>
          <w:shd w:fill="FFFF00" w:val="clear"/>
        </w:rPr>
        <w:t xml:space="preserve">ограничение количества участников размещения заказа</w:t>
      </w:r>
      <w:r>
        <w:rPr>
          <w:rFonts w:ascii="Times New Roman" w:hAnsi="Times New Roman" w:cs="Times New Roman" w:eastAsia="Times New Roman"/>
          <w:color w:val="auto"/>
          <w:spacing w:val="0"/>
          <w:position w:val="0"/>
          <w:sz w:val="26"/>
          <w:shd w:fill="FFFF00"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FFFF00" w:val="clear"/>
        </w:rPr>
      </w:pPr>
      <w:r>
        <w:rPr>
          <w:rFonts w:ascii="Times New Roman" w:hAnsi="Times New Roman" w:cs="Times New Roman" w:eastAsia="Times New Roman"/>
          <w:color w:val="auto"/>
          <w:spacing w:val="0"/>
          <w:position w:val="0"/>
          <w:sz w:val="26"/>
          <w:shd w:fill="FFFF00" w:val="clear"/>
        </w:rPr>
        <w:t xml:space="preserve">Согласно пунктам 2,3,4  локально-сметного расчета № 2-3 </w:t>
      </w:r>
      <w:r>
        <w:rPr>
          <w:rFonts w:ascii="Times New Roman" w:hAnsi="Times New Roman" w:cs="Times New Roman" w:eastAsia="Times New Roman"/>
          <w:color w:val="auto"/>
          <w:spacing w:val="0"/>
          <w:position w:val="0"/>
          <w:sz w:val="26"/>
          <w:shd w:fill="FFFF00" w:val="clear"/>
        </w:rPr>
        <w:t xml:space="preserve">«</w:t>
      </w:r>
      <w:r>
        <w:rPr>
          <w:rFonts w:ascii="Times New Roman" w:hAnsi="Times New Roman" w:cs="Times New Roman" w:eastAsia="Times New Roman"/>
          <w:color w:val="auto"/>
          <w:spacing w:val="0"/>
          <w:position w:val="0"/>
          <w:sz w:val="26"/>
          <w:shd w:fill="FFFF00" w:val="clear"/>
        </w:rPr>
        <w:t xml:space="preserve">на Телефонную связь, реконструкция детского сада Дементьево</w:t>
      </w:r>
      <w:r>
        <w:rPr>
          <w:rFonts w:ascii="Times New Roman" w:hAnsi="Times New Roman" w:cs="Times New Roman" w:eastAsia="Times New Roman"/>
          <w:color w:val="auto"/>
          <w:spacing w:val="0"/>
          <w:position w:val="0"/>
          <w:sz w:val="26"/>
          <w:shd w:fill="FFFF00" w:val="clear"/>
        </w:rPr>
        <w:t xml:space="preserve">» </w:t>
      </w:r>
      <w:r>
        <w:rPr>
          <w:rFonts w:ascii="Times New Roman" w:hAnsi="Times New Roman" w:cs="Times New Roman" w:eastAsia="Times New Roman"/>
          <w:color w:val="auto"/>
          <w:spacing w:val="0"/>
          <w:position w:val="0"/>
          <w:sz w:val="26"/>
          <w:shd w:fill="FFFF00" w:val="clear"/>
        </w:rPr>
        <w:t xml:space="preserve">указаны товары: Телефон Panasonic КХ-TS2350RU; Телефон Panasonic КХ-T7730; Телефон Panasonic КХ-FT982RU. Исходя из информации, полученной c официального сайта http://www.panasonic.ru/, указание в аукционной документации на слова </w:t>
      </w:r>
      <w:r>
        <w:rPr>
          <w:rFonts w:ascii="Times New Roman" w:hAnsi="Times New Roman" w:cs="Times New Roman" w:eastAsia="Times New Roman"/>
          <w:color w:val="auto"/>
          <w:spacing w:val="0"/>
          <w:position w:val="0"/>
          <w:sz w:val="26"/>
          <w:shd w:fill="FFFF00" w:val="clear"/>
        </w:rPr>
        <w:t xml:space="preserve">«Panasonic» </w:t>
      </w:r>
      <w:r>
        <w:rPr>
          <w:rFonts w:ascii="Times New Roman" w:hAnsi="Times New Roman" w:cs="Times New Roman" w:eastAsia="Times New Roman"/>
          <w:color w:val="auto"/>
          <w:spacing w:val="0"/>
          <w:position w:val="0"/>
          <w:sz w:val="26"/>
          <w:shd w:fill="FFFF00" w:val="clear"/>
        </w:rPr>
        <w:t xml:space="preserve">является указанием на товарный знак и указанием на наименование производителя данного товара. </w:t>
      </w:r>
    </w:p>
    <w:p>
      <w:pPr>
        <w:spacing w:before="0" w:after="0" w:line="240"/>
        <w:ind w:right="0" w:left="0" w:firstLine="708"/>
        <w:jc w:val="both"/>
        <w:rPr>
          <w:rFonts w:ascii="Times New Roman" w:hAnsi="Times New Roman" w:cs="Times New Roman" w:eastAsia="Times New Roman"/>
          <w:color w:val="auto"/>
          <w:spacing w:val="0"/>
          <w:position w:val="0"/>
          <w:sz w:val="26"/>
          <w:shd w:fill="FFFF00" w:val="clear"/>
        </w:rPr>
      </w:pPr>
      <w:r>
        <w:rPr>
          <w:rFonts w:ascii="Times New Roman" w:hAnsi="Times New Roman" w:cs="Times New Roman" w:eastAsia="Times New Roman"/>
          <w:color w:val="auto"/>
          <w:spacing w:val="0"/>
          <w:position w:val="0"/>
          <w:sz w:val="26"/>
          <w:shd w:fill="FFFF00" w:val="clear"/>
        </w:rPr>
        <w:t xml:space="preserve">Следовательно, аукционная документация, содержащая указания  на товарный знак </w:t>
      </w:r>
      <w:r>
        <w:rPr>
          <w:rFonts w:ascii="Times New Roman" w:hAnsi="Times New Roman" w:cs="Times New Roman" w:eastAsia="Times New Roman"/>
          <w:color w:val="auto"/>
          <w:spacing w:val="0"/>
          <w:position w:val="0"/>
          <w:sz w:val="26"/>
          <w:shd w:fill="FFFF00" w:val="clear"/>
        </w:rPr>
        <w:t xml:space="preserve">«Panasonic» </w:t>
      </w:r>
      <w:r>
        <w:rPr>
          <w:rFonts w:ascii="Times New Roman" w:hAnsi="Times New Roman" w:cs="Times New Roman" w:eastAsia="Times New Roman"/>
          <w:color w:val="auto"/>
          <w:spacing w:val="0"/>
          <w:position w:val="0"/>
          <w:sz w:val="26"/>
          <w:shd w:fill="FFFF00" w:val="clear"/>
        </w:rPr>
        <w:t xml:space="preserve">без сопровождения  словами </w:t>
      </w:r>
      <w:r>
        <w:rPr>
          <w:rFonts w:ascii="Times New Roman" w:hAnsi="Times New Roman" w:cs="Times New Roman" w:eastAsia="Times New Roman"/>
          <w:b/>
          <w:color w:val="auto"/>
          <w:spacing w:val="0"/>
          <w:position w:val="0"/>
          <w:sz w:val="26"/>
          <w:shd w:fill="FFFF00" w:val="clear"/>
        </w:rPr>
        <w:t xml:space="preserve">«</w:t>
      </w:r>
      <w:r>
        <w:rPr>
          <w:rFonts w:ascii="Times New Roman" w:hAnsi="Times New Roman" w:cs="Times New Roman" w:eastAsia="Times New Roman"/>
          <w:b/>
          <w:color w:val="auto"/>
          <w:spacing w:val="0"/>
          <w:position w:val="0"/>
          <w:sz w:val="26"/>
          <w:shd w:fill="FFFF00" w:val="clear"/>
        </w:rPr>
        <w:t xml:space="preserve">или эквивалент</w:t>
      </w:r>
      <w:r>
        <w:rPr>
          <w:rFonts w:ascii="Times New Roman" w:hAnsi="Times New Roman" w:cs="Times New Roman" w:eastAsia="Times New Roman"/>
          <w:b/>
          <w:color w:val="auto"/>
          <w:spacing w:val="0"/>
          <w:position w:val="0"/>
          <w:sz w:val="26"/>
          <w:shd w:fill="FFFF00" w:val="clear"/>
        </w:rPr>
        <w:t xml:space="preserve">»</w:t>
      </w:r>
      <w:r>
        <w:rPr>
          <w:rFonts w:ascii="Times New Roman" w:hAnsi="Times New Roman" w:cs="Times New Roman" w:eastAsia="Times New Roman"/>
          <w:color w:val="auto"/>
          <w:spacing w:val="0"/>
          <w:position w:val="0"/>
          <w:sz w:val="26"/>
          <w:shd w:fill="FFFF00" w:val="clear"/>
        </w:rPr>
        <w:t xml:space="preserve">, </w:t>
      </w:r>
      <w:r>
        <w:rPr>
          <w:rFonts w:ascii="Times New Roman" w:hAnsi="Times New Roman" w:cs="Times New Roman" w:eastAsia="Times New Roman"/>
          <w:color w:val="auto"/>
          <w:spacing w:val="0"/>
          <w:position w:val="0"/>
          <w:sz w:val="26"/>
          <w:shd w:fill="FFFF00" w:val="clear"/>
        </w:rPr>
        <w:t xml:space="preserve">не соответствует требованиям части 1 статьи 41.6 Закона о размещении заказов.</w:t>
      </w:r>
    </w:p>
    <w:p>
      <w:pPr>
        <w:spacing w:before="0" w:after="0" w:line="240"/>
        <w:ind w:right="0" w:left="0" w:firstLine="708"/>
        <w:jc w:val="both"/>
        <w:rPr>
          <w:rFonts w:ascii="Calibri" w:hAnsi="Calibri" w:cs="Calibri" w:eastAsia="Calibri"/>
          <w:color w:val="auto"/>
          <w:spacing w:val="0"/>
          <w:position w:val="0"/>
          <w:sz w:val="22"/>
          <w:shd w:fill="FFFF00" w:val="clear"/>
        </w:rPr>
      </w:pPr>
      <w:r>
        <w:rPr>
          <w:rFonts w:ascii="Times New Roman" w:hAnsi="Times New Roman" w:cs="Times New Roman" w:eastAsia="Times New Roman"/>
          <w:color w:val="auto"/>
          <w:spacing w:val="0"/>
          <w:position w:val="0"/>
          <w:sz w:val="26"/>
          <w:shd w:fill="FFFF00" w:val="clear"/>
        </w:rPr>
        <w:t xml:space="preserve">В соответствии с  пунктами 6,9 локально-сметного расчета № 2-6 на кровлю, реконструкция детского сада указаны товары : минераловатные плиты РУФ Баттс В Rockwool толщ. 40 мм; минераловатные плиты РУФ Баттс В Rockwool толщ. 200 мм. Информация полученная с официального сайта    www. rockwool.ru указание в аукционной документации на слова </w:t>
      </w:r>
      <w:r>
        <w:rPr>
          <w:rFonts w:ascii="Times New Roman" w:hAnsi="Times New Roman" w:cs="Times New Roman" w:eastAsia="Times New Roman"/>
          <w:color w:val="auto"/>
          <w:spacing w:val="0"/>
          <w:position w:val="0"/>
          <w:sz w:val="26"/>
          <w:shd w:fill="FFFF00" w:val="clear"/>
        </w:rPr>
        <w:t xml:space="preserve">«Rockwool» </w:t>
      </w:r>
      <w:r>
        <w:rPr>
          <w:rFonts w:ascii="Times New Roman" w:hAnsi="Times New Roman" w:cs="Times New Roman" w:eastAsia="Times New Roman"/>
          <w:color w:val="auto"/>
          <w:spacing w:val="0"/>
          <w:position w:val="0"/>
          <w:sz w:val="26"/>
          <w:shd w:fill="FFFF00" w:val="clear"/>
        </w:rPr>
        <w:t xml:space="preserve">является указанием на товарный знак и указанием на наименование производителя данного товара.</w:t>
      </w:r>
      <w:r>
        <w:rPr>
          <w:rFonts w:ascii="Calibri" w:hAnsi="Calibri" w:cs="Calibri" w:eastAsia="Calibri"/>
          <w:color w:val="auto"/>
          <w:spacing w:val="0"/>
          <w:position w:val="0"/>
          <w:sz w:val="22"/>
          <w:shd w:fill="FFFF00"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FFFF00" w:val="clear"/>
        </w:rPr>
        <w:t xml:space="preserve">Следовательно, аукционная документация, содержащая указания  на товарный знак </w:t>
      </w:r>
      <w:r>
        <w:rPr>
          <w:rFonts w:ascii="Times New Roman" w:hAnsi="Times New Roman" w:cs="Times New Roman" w:eastAsia="Times New Roman"/>
          <w:color w:val="auto"/>
          <w:spacing w:val="0"/>
          <w:position w:val="0"/>
          <w:sz w:val="26"/>
          <w:shd w:fill="FFFF00" w:val="clear"/>
        </w:rPr>
        <w:t xml:space="preserve">«Rockwool» </w:t>
      </w:r>
      <w:r>
        <w:rPr>
          <w:rFonts w:ascii="Times New Roman" w:hAnsi="Times New Roman" w:cs="Times New Roman" w:eastAsia="Times New Roman"/>
          <w:color w:val="auto"/>
          <w:spacing w:val="0"/>
          <w:position w:val="0"/>
          <w:sz w:val="26"/>
          <w:shd w:fill="FFFF00" w:val="clear"/>
        </w:rPr>
        <w:t xml:space="preserve">без сопровождения  словами </w:t>
      </w:r>
      <w:r>
        <w:rPr>
          <w:rFonts w:ascii="Times New Roman" w:hAnsi="Times New Roman" w:cs="Times New Roman" w:eastAsia="Times New Roman"/>
          <w:b/>
          <w:color w:val="auto"/>
          <w:spacing w:val="0"/>
          <w:position w:val="0"/>
          <w:sz w:val="26"/>
          <w:shd w:fill="FFFF00" w:val="clear"/>
        </w:rPr>
        <w:t xml:space="preserve">«</w:t>
      </w:r>
      <w:r>
        <w:rPr>
          <w:rFonts w:ascii="Times New Roman" w:hAnsi="Times New Roman" w:cs="Times New Roman" w:eastAsia="Times New Roman"/>
          <w:b/>
          <w:color w:val="auto"/>
          <w:spacing w:val="0"/>
          <w:position w:val="0"/>
          <w:sz w:val="26"/>
          <w:shd w:fill="FFFF00" w:val="clear"/>
        </w:rPr>
        <w:t xml:space="preserve">или эквивалент</w:t>
      </w:r>
      <w:r>
        <w:rPr>
          <w:rFonts w:ascii="Times New Roman" w:hAnsi="Times New Roman" w:cs="Times New Roman" w:eastAsia="Times New Roman"/>
          <w:b/>
          <w:color w:val="auto"/>
          <w:spacing w:val="0"/>
          <w:position w:val="0"/>
          <w:sz w:val="26"/>
          <w:shd w:fill="FFFF00" w:val="clear"/>
        </w:rPr>
        <w:t xml:space="preserve">»</w:t>
      </w:r>
      <w:r>
        <w:rPr>
          <w:rFonts w:ascii="Times New Roman" w:hAnsi="Times New Roman" w:cs="Times New Roman" w:eastAsia="Times New Roman"/>
          <w:color w:val="auto"/>
          <w:spacing w:val="0"/>
          <w:position w:val="0"/>
          <w:sz w:val="26"/>
          <w:shd w:fill="FFFF00" w:val="clear"/>
        </w:rPr>
        <w:t xml:space="preserve">, </w:t>
      </w:r>
      <w:r>
        <w:rPr>
          <w:rFonts w:ascii="Times New Roman" w:hAnsi="Times New Roman" w:cs="Times New Roman" w:eastAsia="Times New Roman"/>
          <w:color w:val="auto"/>
          <w:spacing w:val="0"/>
          <w:position w:val="0"/>
          <w:sz w:val="26"/>
          <w:shd w:fill="FFFF00" w:val="clear"/>
        </w:rPr>
        <w:t xml:space="preserve">не соответствует требованиям части 1 статьи 41.6 Закона о размещении заказов.</w:t>
      </w:r>
    </w:p>
    <w:p>
      <w:pPr>
        <w:spacing w:before="0" w:after="0" w:line="240"/>
        <w:ind w:right="0" w:left="0" w:firstLine="708"/>
        <w:jc w:val="both"/>
        <w:rPr>
          <w:rFonts w:ascii="Times New Roman" w:hAnsi="Times New Roman" w:cs="Times New Roman" w:eastAsia="Times New Roman"/>
          <w:color w:val="auto"/>
          <w:spacing w:val="0"/>
          <w:position w:val="0"/>
          <w:sz w:val="26"/>
          <w:shd w:fill="FF0000" w:val="clear"/>
        </w:rPr>
      </w:pPr>
      <w:r>
        <w:rPr>
          <w:rFonts w:ascii="Times New Roman" w:hAnsi="Times New Roman" w:cs="Times New Roman" w:eastAsia="Times New Roman"/>
          <w:color w:val="auto"/>
          <w:spacing w:val="0"/>
          <w:position w:val="0"/>
          <w:sz w:val="26"/>
          <w:shd w:fill="FF0000" w:val="clear"/>
        </w:rPr>
        <w:t xml:space="preserve">В соответствии с пунктами 2, 3 статьи 19.1 Федерального закона от 21.07.2005 г. № 94-ФЗ в  документации об аукционе (в том числе в документации об открытом аукционе в электронной форме)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 Размещение на официальном сайте документации об аукционе (в том числе документации об открытом аукционе в электронной форме), в которых указываются обоснование начальной (максимальной) цены контракта (цены лота) и иная предусмотренная частью 2 настоящей статьи информация, признается добросовестным исполнением требований настоящей статьи.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FF0000" w:val="clear"/>
        </w:rPr>
        <w:t xml:space="preserve">Согласно локальным сметным расчетам № 1-1; 2-3;2-4; 2-13; 7-1; 7-2; 9-1; 24 размещенным на официальном сайте, являющиеся неотъемлемой частью аукционной документации  общая сумма всех расчетов составляет  20</w:t>
      </w:r>
      <w:r>
        <w:rPr>
          <w:rFonts w:ascii="Times New Roman" w:hAnsi="Times New Roman" w:cs="Times New Roman" w:eastAsia="Times New Roman"/>
          <w:color w:val="auto"/>
          <w:spacing w:val="0"/>
          <w:position w:val="0"/>
          <w:sz w:val="26"/>
          <w:shd w:fill="FF0000" w:val="clear"/>
        </w:rPr>
        <w:t xml:space="preserve"> 927 046 </w:t>
      </w:r>
      <w:r>
        <w:rPr>
          <w:rFonts w:ascii="Times New Roman" w:hAnsi="Times New Roman" w:cs="Times New Roman" w:eastAsia="Times New Roman"/>
          <w:color w:val="auto"/>
          <w:spacing w:val="0"/>
          <w:position w:val="0"/>
          <w:sz w:val="26"/>
          <w:shd w:fill="FF0000" w:val="clear"/>
        </w:rPr>
        <w:t xml:space="preserve">руб., несмотря на то, что  извещением  о проведении открытого аукциона в электронной форме  установлено  иное, а именно начальная (максимальная) цена: 23 693 388 руб. 00 коп. Таким образом, заказчик не надлежащим образом исполнил свою обязанность, установленную в пункте 2 статьи 19.1 Федерального закона от 21.07.2005 г. № 94-ФЗ.</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C52E2B00144155C96072B5146A354A2E848D930D3E20372F07BEAC3287346B134106BF6BABQDY6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