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Бизнес-Меридиан</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105568, </w:t>
      </w:r>
      <w:r>
        <w:rPr>
          <w:rFonts w:ascii="Times New Roman" w:hAnsi="Times New Roman" w:cs="Times New Roman" w:eastAsia="Times New Roman"/>
          <w:color w:val="auto"/>
          <w:spacing w:val="0"/>
          <w:position w:val="0"/>
          <w:sz w:val="26"/>
          <w:shd w:fill="auto" w:val="clear"/>
        </w:rPr>
        <w:t xml:space="preserve">г. Москва, ул. Челябинская, д.19, корп.4, офис 3</w:t>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Департамент  государственного заказа Ярославской области</w:t>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150003, </w:t>
      </w:r>
      <w:r>
        <w:rPr>
          <w:rFonts w:ascii="Times New Roman" w:hAnsi="Times New Roman" w:cs="Times New Roman" w:eastAsia="Times New Roman"/>
          <w:color w:val="auto"/>
          <w:spacing w:val="0"/>
          <w:position w:val="0"/>
          <w:sz w:val="26"/>
          <w:shd w:fill="auto" w:val="clear"/>
        </w:rPr>
        <w:t xml:space="preserve">г. Ярославль, ул. Советская, д. 69</w:t>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Департамент образования по Ярославской области</w:t>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150000, </w:t>
      </w:r>
      <w:r>
        <w:rPr>
          <w:rFonts w:ascii="Times New Roman" w:hAnsi="Times New Roman" w:cs="Times New Roman" w:eastAsia="Times New Roman"/>
          <w:color w:val="auto"/>
          <w:spacing w:val="0"/>
          <w:position w:val="0"/>
          <w:sz w:val="26"/>
          <w:shd w:fill="auto" w:val="clear"/>
        </w:rPr>
        <w:t xml:space="preserve">г.Ярославль, ул.Советская, д.7</w:t>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Оператору торговой площадки</w:t>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РТС-Тендер</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5103"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info@rts-tender.ru</w:t>
      </w:r>
    </w:p>
    <w:p>
      <w:pPr>
        <w:spacing w:before="0" w:after="0" w:line="240"/>
        <w:ind w:right="0" w:left="5103"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делу № 05-02/203Ж-13</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Резолютивная часть решения объявлена 23 августа 2013 года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изготовлено в полном объеме 28 августа 2013 года                г. Ярославль</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Комиссия Управления Федеральной антимонопольной службы по Ярославской области по контролю в сфере размещения заказов (далее также – Комиссия) в составе: председатель Комиссии – временно исполняющий обязанности заместителя  руководителя управления Гаев М.В., члены Комиссии – главный специалист-эксперт отдела контроля размещения государственного заказа  Разумов И.В., государственный инспектор отдела контроля размещения государственного заказа Запольская Т.И.,</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 участием:</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заявителя –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Бизнес-Меридиан</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представитель по доверенности – Маленко Г.А.;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 уполномоченного органа – Департамента государственного заказа Ярославской области (далее – Уполномоченный орган) – представителя по доверенности – Лагуновой  Т.В.;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 заказчика – Департамент образования по Ярославской области – представители по доверенности – Коптевой А.Н., Щукина С.И.;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tab/>
      </w:r>
      <w:r>
        <w:rPr>
          <w:rFonts w:ascii="Times New Roman" w:hAnsi="Times New Roman" w:cs="Times New Roman" w:eastAsia="Times New Roman"/>
          <w:color w:val="auto"/>
          <w:spacing w:val="0"/>
          <w:position w:val="0"/>
          <w:sz w:val="26"/>
          <w:shd w:fill="auto" w:val="clear"/>
        </w:rPr>
        <w:t xml:space="preserve">от оператора  электронной площадки -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РТС-Тендер</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извещены о заседании Комиссии надлежащим образом, на рассмотрение жалобы не присутствовали,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рассмотрев жалобу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Бизнес-Меридиан</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также – Заявитель) на действия уполномоченного органа – Департамента государственного заказа Ярославской области, заказчика – Департамента образования Ярославской области при проведении открытого аукциона в электронной форме на право заключения государственного контракта на поставку 94 комплектов цифрового оборудования для нужд образовательных учреждений в 2013 году в рамках модернизации региональной системы общего образования (извещение № 0171200001913002477),  (далее –  уполномоченный орган, заказчик, аукционная комиссия, открытый аукцион в электронной форме, аукцион, контракт),  и в результате осуществления внеплановой проверки в соответствии с частью 5 статьи 17 Федерального закона от 21.07.2005г. № 94 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 Федеральный закон  № 94-ФЗ, Закон о размещении заказов), Административный регламент Федеральной Антимонопольной службы по исполнению государственной функции по рассмотрению жалоб на действия (бездействия)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поставку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24.07.2012г. № 498,</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установила: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Управление Федеральной антимонопольной службы по Ярославской области (Ярославское УФАС России) поступила жалоба Заявителя на действия уполномоченного органа, заказчика при проведении открытого аукциона в электронной форме.</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жалобе Заявитель выражает несогласие с содержанием документации об аукционе: с нарушением уполномоченным органом, заказчиком положений статьи 19.1 Федеральный закон от 21.07.2005г. № 94-ФЗ: для определения начальной (максимальной) цены заказчиком были использованы коммерческие предложения, полученные от поставщиков. В соответствии с данными предложениями максимальная (начальная) цена составила 47630749,40 руб. Однако при формировании начальной (максимальной) цены контракта не была учтена стоимость обязательных по проекту контракту монтажа и пусконаладочных работ, а также инструктажа персонала получателей товара. Также Заявитель выражает несогласие с тем, что в документации об аукционе не содержит конкретизации условий исполнения контракта. В разделе 6 Информационной карты аукционной документации содержится требование к поставщику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провести инструктаж персонала получателей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то время как в проекте государственного контракта не определены порядок проведения, объем и содержание инструктажа, место проведения инструктажа, порядок обеспечения присутствия персонала получателей на инструктаже, порядок определения лиц, нуждающихся в инструктаже. Таким образом, по мнению Заявителя, документация не содержит обязательную информацию, определенную  Федеральным законом от 21.07.2005г. № 94-ФЗ. Податель жалобы просит  признать жалобу обоснованной, выдать предписание об устранении нарушений.</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Представители заказчика, уполномоченного органа не согласились с доводами Заявителя и сообщили, что при составлении  аукционной документации заказчик, уполномоченный орган действовали в соответствии с положениями Закона о размещении заказов. Просят признать жалобу необоснованной.</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Заслушав мнения сторон и изучив представленные документы и материалы, Комиссия приходит к следующим выводам.</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18.07.2013</w:t>
      </w:r>
      <w:r>
        <w:rPr>
          <w:rFonts w:ascii="Times New Roman" w:hAnsi="Times New Roman" w:cs="Times New Roman" w:eastAsia="Times New Roman"/>
          <w:color w:val="auto"/>
          <w:spacing w:val="0"/>
          <w:position w:val="0"/>
          <w:sz w:val="26"/>
          <w:shd w:fill="auto" w:val="clear"/>
        </w:rPr>
        <w:t xml:space="preserve">г. уполномоченным органом – Департаментом государственного заказа Ярославской области -  на официальном сайте в сети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Интернет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для размещения информации о размещении заказов на поставки товаров, выполнение работ, оказание услуг для государственных нужд www.zakupki.gov.ru размещено извещение о проведении открытого аукциона в электронной форме на право заключения государственного контракта на поставку 94 комплектов цифрового оборудования для нужд образовательных учреждений в 2013 году в рамках модернизации региональной системы общего образования (извещение № 0171200001913002477) вместе с документацией об открытом аукционе в электронной форме.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Заказчиком по данному аукциону является Департамент образования по Ярославской области. Начальная максимальная цена контракта согласно извещению о проведении открытого аукциона в электронной форме составляет 47 630 749,40 руб.</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Предметом контракта является поставка 94 комплектов цифрового оборудования для нужд образовательных учреждений Ярославской области в 2013 году в рамках модернизации региональной системы общего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соответствии с пунктом 6 Раздела 1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Информационная карта аукциона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пунктом 1.4 Раздела 2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Техническая часть документации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аукционной документации и пунктами 3.1.8, 5.2. проекта государственного контракта при поставке товара Поставщик должен произвести установку, монтаж, пуско-наладочные работы и инструктаж персонала получателей. </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соответствии с пунктом 1 части 4 статьи 41.6 Закона о размещении заказов документация об открытом аукционе в электронной форме должна содержать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пункту 6 части 4 статьи 41.6 Закона о размещении заказов документация об открытом аукционе в электронной форме должна содержать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w:t>
      </w:r>
      <w:r>
        <w:rPr>
          <w:rFonts w:ascii="Times New Roman" w:hAnsi="Times New Roman" w:cs="Times New Roman" w:eastAsia="Times New Roman"/>
          <w:i/>
          <w:color w:val="auto"/>
          <w:spacing w:val="0"/>
          <w:position w:val="0"/>
          <w:sz w:val="26"/>
          <w:shd w:fill="auto" w:val="clear"/>
        </w:rPr>
        <w:t xml:space="preserve">об обязательности осуществления монтажа и наладки товара, к обучению лиц, осуществляющих использование и обслуживание товара.</w:t>
      </w:r>
      <w:r>
        <w:rPr>
          <w:rFonts w:ascii="Times New Roman" w:hAnsi="Times New Roman" w:cs="Times New Roman" w:eastAsia="Times New Roman"/>
          <w:color w:val="auto"/>
          <w:spacing w:val="0"/>
          <w:position w:val="0"/>
          <w:sz w:val="26"/>
          <w:shd w:fill="auto" w:val="clear"/>
        </w:rPr>
        <w:t xml:space="preserve"> Указанные требования устанавливаются заказчиком, уполномоченным органом </w:t>
      </w:r>
      <w:r>
        <w:rPr>
          <w:rFonts w:ascii="Times New Roman" w:hAnsi="Times New Roman" w:cs="Times New Roman" w:eastAsia="Times New Roman"/>
          <w:i/>
          <w:color w:val="auto"/>
          <w:spacing w:val="0"/>
          <w:position w:val="0"/>
          <w:sz w:val="26"/>
          <w:shd w:fill="auto" w:val="clear"/>
        </w:rPr>
        <w:t xml:space="preserve">при необходимости, за исключением случаев размещения заказов на поставки машин и оборудования</w:t>
      </w:r>
      <w:r>
        <w:rPr>
          <w:rFonts w:ascii="Times New Roman" w:hAnsi="Times New Roman" w:cs="Times New Roman" w:eastAsia="Times New Roman"/>
          <w:color w:val="auto"/>
          <w:spacing w:val="0"/>
          <w:position w:val="0"/>
          <w:sz w:val="26"/>
          <w:shd w:fill="auto" w:val="clear"/>
        </w:rPr>
        <w:t xml:space="preserve">. В случае размещения заказов на поставки машин и оборудования заказчик, уполномоченный орган устанавливают в документации об открытом аукционе в электронной форме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w:t>
      </w:r>
      <w:r>
        <w:rPr>
          <w:rFonts w:ascii="Times New Roman" w:hAnsi="Times New Roman" w:cs="Times New Roman" w:eastAsia="Times New Roman"/>
          <w:i/>
          <w:color w:val="auto"/>
          <w:spacing w:val="0"/>
          <w:position w:val="0"/>
          <w:sz w:val="26"/>
          <w:shd w:fill="auto" w:val="clear"/>
        </w:rPr>
        <w:t xml:space="preserve">, а также к осуществлению монтажа и наладки товара в случае, если это предусмотрено технической документацией на товар</w:t>
      </w:r>
      <w:r>
        <w:rPr>
          <w:rFonts w:ascii="Times New Roman" w:hAnsi="Times New Roman" w:cs="Times New Roman" w:eastAsia="Times New Roman"/>
          <w:color w:val="auto"/>
          <w:spacing w:val="0"/>
          <w:position w:val="0"/>
          <w:sz w:val="26"/>
          <w:shd w:fill="auto" w:val="clear"/>
        </w:rPr>
        <w:t xml:space="preserve">.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w:t>
      </w:r>
    </w:p>
    <w:p>
      <w:pPr>
        <w:spacing w:before="0" w:after="0" w:line="240"/>
        <w:ind w:right="0" w:left="0" w:firstLine="708"/>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Таким образом, поскольку в данном случае предметом аукциона является поставка цифрового оборудования для нужд образовательных учреждений   заказчик был обязан установить подобное требование </w:t>
      </w:r>
      <w:r>
        <w:rPr>
          <w:rFonts w:ascii="Times New Roman" w:hAnsi="Times New Roman" w:cs="Times New Roman" w:eastAsia="Times New Roman"/>
          <w:i/>
          <w:color w:val="auto"/>
          <w:spacing w:val="0"/>
          <w:position w:val="0"/>
          <w:sz w:val="26"/>
          <w:shd w:fill="auto" w:val="clear"/>
        </w:rPr>
        <w:t xml:space="preserve">об обязательности осуществления монтажа и наладки товара,  обучения лиц, осуществляющих использование и обслуживание товара.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заседании Комиссии, представители заказчика, уполномоченного органа пояснили, что под инструктажом персонала получателей, требуемом от поставщика при поставке товара, понимается общее ознакомление лиц, которые в дальнейшем будут осуществлять использование и обслуживание товара с порядком и правилами использования оборудования, в связи с чем отсутствовала необходимость в подробном и детальном изложении в документации</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порядка проведения, объема и содержания инструктажа, места проведения инструктажа, порядка обеспечения присутствия персонала получателей на инструктаже, порядка определения лиц, нуждающихся в инструктаже.</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Комиссия также учитывает то обстоятельство, что законодательством о размещении заказа не предусмотрена обязанность заказчиков, уполномоченных органов детально прописывать в аукционных документациях порядок проведения, объем и содержание инструктажа, место проведения инструктажа, порядок обеспечения присутствия персонала получателей на инструктаже, порядок определения лиц, нуждающихся в инструктаже.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Следовательно, довод Заявителя о нарушении заказчиком, уполномоченным органом, не определивших в документации порядок проведения, объем и содержание инструктажа, место проведения инструктажа, порядок обеспечения присутствия персонала получателей на инструктаже, порядок определения лиц, нуждающихся в инструктаже, положений статьи 41.6 Закона о размещении заказов, необоснован.</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Исходя из пункта 6.1 части 3 статьи 41.6 Федерального закона  № 94-ФЗ аукционная документация должна содержать обоснование начальной (максимальной) цены контракта (цены лота) в соответствии с положениями </w:t>
      </w:r>
      <w:hyperlink xmlns:r="http://schemas.openxmlformats.org/officeDocument/2006/relationships" r:id="docRId0">
        <w:r>
          <w:rPr>
            <w:rFonts w:ascii="Times New Roman" w:hAnsi="Times New Roman" w:cs="Times New Roman" w:eastAsia="Times New Roman"/>
            <w:color w:val="0000FF"/>
            <w:spacing w:val="0"/>
            <w:position w:val="0"/>
            <w:sz w:val="26"/>
            <w:u w:val="single"/>
            <w:shd w:fill="auto" w:val="clear"/>
          </w:rPr>
          <w:t xml:space="preserve">статьи 19.1</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настоящего Федерального закона.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соответствии с частью 1 статьи 19.1 Федерального закона № 94-ФЗ для установления начальной (максимальной) цены контракта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 иные источники информации. Заказчик, уполномоченный орган вправе осуществить свои расчеты начальной (максимальной) цены контракта (цены лота).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Согласно части 3 статьи 19.1 Федерального закона № 94-ФЗ размещение на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официальном сайте конкурсной документации, документации об аукционе (в том числе документации об открытом аукционе в электронной форме), извещения о проведении запроса котировок, в которых указываются обоснование начальной (максимальной) цены контракта (цены лота) и иная предусмотренная частью 2 настоящей статьи информация, признается добросовестным исполнением требований настоящей статьи. </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Как было установлено на заседании Комиссии, уполномоченный орган во исполнение указанных норм права в Приложении № 2 к Разделу 1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Информационная карта аукциона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документации об открытом аукционе в электронной форме осуществил расчет начальной (максимальной) цены контракта, который был произведен на основании коммерческих предложений хозяйствующих субъектов. Коммерческие предложения  формировались поставщиками с учетом установленного в пункте 1.4 Технического задания документации об аукционе требования о том, что поставщик производит установку, монтаж и пусконаладку оборудования по месту нахождения получателей товара.   Понимаемое под инструктажом персонала получателей товара, требуемом от поставщика при поставке товара согласно проекту контракта,  общее ознакомление лиц, которые в дальнейшем будут осуществлять использование и обслуживание товара с порядком и правилами использования оборудования во-первых, не требует значительных финансовых затрат от поставщика; во-вторых,  является не предметом контракта, а обязательным сопутствующим поставке требованием; в-третьих, начальная (максимальная) цена рассчитана на основании коммерческих предложений четырех хозяйствующих субъектов, что не исключает возможность ее снижения другими потенциальными участниками размещения заказа, за счет которого и представилось бы возможным осуществить инструктаж.</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Таким образом, Комиссия полагает, что заказчик, уполномоченный орган при обосновании начальной (максимальной) цены контракта не допустили нарушений законодательства о размещении заказа.</w:t>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основании изложенного и руководствуясь частью 6 статьи 60 Федерального закона от 21.07.2005г. № 94-ФЗ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Административным регламентом, утвержденным приказом ФАС России от 24.07.2012г. № 498,  Комиссия Ярославского УФАС России по контролю в сфере размещения заказов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решила:</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tab/>
      </w:r>
    </w:p>
    <w:p>
      <w:pPr>
        <w:spacing w:before="0" w:after="0" w:line="240"/>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Признать жалобу  ООО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Бизнес-Меридиан</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 действия уполномоченного органа – Департамента государственного заказа Ярославской области, заказчика – Департамента образования Ярославской области при проведении открытого аукциона в электронной форме на право заключения государственного контракта на поставку 94 комплектов цифрового оборудования для нужд образовательных учреждений в 2013 году в рамках модернизации региональной системы общего образования (извещение № 0171200001913002477)   необоснованной.</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tab/>
      </w:r>
      <w:r>
        <w:rPr>
          <w:rFonts w:ascii="Times New Roman" w:hAnsi="Times New Roman" w:cs="Times New Roman" w:eastAsia="Times New Roman"/>
          <w:color w:val="auto"/>
          <w:spacing w:val="0"/>
          <w:position w:val="0"/>
          <w:sz w:val="26"/>
          <w:shd w:fill="auto" w:val="clear"/>
        </w:rPr>
        <w:t xml:space="preserve">Настоящее решение может быть обжаловано в судебном порядке в течение трех месяцев со дня его принятия.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Председатель Комиссии                                                                             М.В. Гаев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Члены комиссии:                                                                                    И.В. Разумов</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Т.И. Запольская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E3FA6AC229E7FED78649AD2A79222ABC67691AD51D6DE6823672F0DB338A1AEF286D88048D962EECz4d9L"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