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567" w:left="0" w:righ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Краткая справка</w:t>
      </w:r>
    </w:p>
    <w:p>
      <w:pPr>
        <w:pStyle w:val="style0"/>
        <w:ind w:firstLine="567" w:left="0" w:righ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сформировалась нормативно-правовая база, направленная на развитие биржевой торговли. 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были внесены поправки в Федеральный закон от 26.07.2006 № 135-ФЗ «О защите конкуренции» («Третий антимонопольный пакет»), который вступил в силу 6 января 2012 года и в рамках которого устанавливаются требования к формированию рыночной цены на биржевых торгах. Исполнение данных требований позволит сформировать объективный рыночный индикатор на нефтепродукты.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развитие норм «Третьего антимонопольного пакета» был принят ряд подзаконных актов, которые регламентируют особенности реализации на бирже нефтепродуктов.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частности: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приказом ФАС России от 26 июня 2012 года № 409 утвержден 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брокерам);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11.10.2012 №1035 утверждены Критерии регулярности и равномерности реализации товара на бирже для отдельных товарных рынков, на которых обращаются нефть и (или) нефтепродукты;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- 30.04.2013 принят совместный приказ №313/13 и Минэнерго России № 225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</w:t>
      </w:r>
    </w:p>
    <w:p>
      <w:pPr>
        <w:pStyle w:val="style0"/>
        <w:ind w:firstLine="567" w:left="0" w:right="0"/>
        <w:jc w:val="both"/>
        <w:rPr/>
      </w:pPr>
      <w:r>
        <w:rPr/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7"/>
        <w:gridCol w:w="1679"/>
        <w:gridCol w:w="1679"/>
        <w:gridCol w:w="1679"/>
        <w:gridCol w:w="1799"/>
        <w:gridCol w:w="1801"/>
      </w:tblGrid>
      <w:tr>
        <w:trPr>
          <w:trHeight w:hRule="atLeast" w:val="1800"/>
          <w:cantSplit w:val="false"/>
        </w:trPr>
        <w:tc>
          <w:tcPr>
            <w:tcW w:type="dxa" w:w="1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в секции нефтепродукты</w:t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сделок в секции нефтепродукты</w:t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Средний объем сделки  в секции нефтепродукты (тоны)</w:t>
            </w:r>
          </w:p>
        </w:tc>
        <w:tc>
          <w:tcPr>
            <w:tcW w:type="dxa" w:w="179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сделок в секции нефтепродукты в натуральном выражении (тонны)</w:t>
            </w:r>
          </w:p>
        </w:tc>
        <w:tc>
          <w:tcPr>
            <w:tcW w:type="dxa" w:w="18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сделок в секции нефтепродукты в стоимостном выражении  (млрд. руб.)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4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11 714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type="dxa" w:w="179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11 334 000</w:t>
            </w:r>
          </w:p>
        </w:tc>
        <w:tc>
          <w:tcPr>
            <w:tcW w:type="dxa" w:w="18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4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1 051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15 937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type="dxa" w:w="179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9 600 000</w:t>
            </w:r>
          </w:p>
        </w:tc>
        <w:tc>
          <w:tcPr>
            <w:tcW w:type="dxa" w:w="18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45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45 799</w:t>
            </w:r>
          </w:p>
        </w:tc>
        <w:tc>
          <w:tcPr>
            <w:tcW w:type="dxa" w:w="16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type="dxa" w:w="179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12 120 000</w:t>
            </w:r>
          </w:p>
        </w:tc>
        <w:tc>
          <w:tcPr>
            <w:tcW w:type="dxa" w:w="18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2014*</w:t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</w:t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68 102</w:t>
            </w:r>
          </w:p>
        </w:tc>
        <w:tc>
          <w:tcPr>
            <w:tcW w:type="dxa" w:w="16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type="dxa" w:w="179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14 077 101</w:t>
            </w:r>
          </w:p>
        </w:tc>
        <w:tc>
          <w:tcPr>
            <w:tcW w:type="dxa" w:w="18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</w:tbl>
    <w:p>
      <w:pPr>
        <w:pStyle w:val="style0"/>
        <w:ind w:firstLine="567" w:left="0" w:right="0"/>
        <w:jc w:val="both"/>
        <w:rPr/>
      </w:pPr>
      <w:r>
        <w:rPr/>
        <w:t>* - данные за 2014 год приведены с начала года по состоянию на 27.10.2014 года</w:t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jc w:val="both"/>
        <w:rPr/>
      </w:pPr>
      <w:r>
        <w:rPr/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879"/>
      </w:tblGrid>
      <w:tr>
        <w:trPr>
          <w:trHeight w:hRule="atLeast" w:val="705"/>
          <w:cantSplit w:val="false"/>
        </w:trPr>
        <w:tc>
          <w:tcPr>
            <w:tcW w:type="dxa" w:w="587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Процентное соотношение реализации нефтепродуктов на биржевых торгах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 %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ДТ %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 %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2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Мазут %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type="dxa" w:w="12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</w:tbl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ind w:firstLine="567" w:left="0" w:right="0"/>
        <w:jc w:val="both"/>
        <w:rPr>
          <w:b/>
        </w:rPr>
      </w:pPr>
      <w:r>
        <w:rPr>
          <w:b/>
        </w:rPr>
        <w:t>Поставки на внутренний рынок и продажи на СПбМТСБ в разбивке по основным нефтепродуктам (автобензин, дизельное топливо, авиакеросин, топочный мазут), тонн.</w:t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159"/>
        <w:gridCol w:w="5621"/>
      </w:tblGrid>
      <w:tr>
        <w:trPr>
          <w:trHeight w:hRule="atLeast" w:val="300"/>
          <w:cantSplit w:val="false"/>
        </w:trPr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5621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2013 год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Поставки на внутренний рынок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Автобензин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4 946 840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34 173 601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14,5%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Авиакеросин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1 978 820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10 309 900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19,2%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5 096 955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32 750 548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15,6%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Топочный мазут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1 390 465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13 990 100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9,9%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1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type="dxa" w:w="12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13 413 080</w:t>
            </w:r>
          </w:p>
        </w:tc>
        <w:tc>
          <w:tcPr>
            <w:tcW w:type="dxa" w:w="361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91 224 149</w:t>
            </w:r>
          </w:p>
        </w:tc>
        <w:tc>
          <w:tcPr>
            <w:tcW w:type="dxa" w:w="76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14,7%</w:t>
            </w:r>
          </w:p>
        </w:tc>
      </w:tr>
    </w:tbl>
    <w:p>
      <w:pPr>
        <w:pStyle w:val="style0"/>
        <w:jc w:val="both"/>
        <w:rPr/>
      </w:pPr>
      <w:r>
        <w:rPr/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71"/>
        <w:gridCol w:w="5809"/>
      </w:tblGrid>
      <w:tr>
        <w:trPr>
          <w:trHeight w:hRule="atLeast" w:val="300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5809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январь - сентябрь 2014 год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Поставки на внутренний рынок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Автобензин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4 456 525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25 553 425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17,4%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Авиакеросин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1 885 740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8 418 800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22,4%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4 313 455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23 545 072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18,3%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Топочный мазут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1 954 345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16 019 032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12,2%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07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type="dxa" w:w="12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12 610 065</w:t>
            </w:r>
          </w:p>
        </w:tc>
        <w:tc>
          <w:tcPr>
            <w:tcW w:type="dxa" w:w="37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73 536 329</w:t>
            </w:r>
          </w:p>
        </w:tc>
        <w:tc>
          <w:tcPr>
            <w:tcW w:type="dxa" w:w="76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jc w:val="right"/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17,1%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567" w:left="0" w:right="0"/>
        <w:jc w:val="both"/>
        <w:rPr>
          <w:b/>
        </w:rPr>
      </w:pPr>
      <w:r>
        <w:rPr>
          <w:b/>
        </w:rPr>
        <w:t>Объем зарегистрированных внебиржевых сделок по годам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914"/>
        <w:gridCol w:w="1912"/>
        <w:gridCol w:w="1913"/>
        <w:gridCol w:w="1913"/>
        <w:gridCol w:w="1919"/>
      </w:tblGrid>
      <w:tr>
        <w:trPr>
          <w:cantSplit w:val="false"/>
        </w:trPr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Нефтепродукты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2011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2012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2013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2014</w:t>
            </w:r>
          </w:p>
        </w:tc>
      </w:tr>
      <w:tr>
        <w:trPr>
          <w:cantSplit w:val="false"/>
        </w:trPr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Кол-во компаний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8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12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19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19</w:t>
            </w:r>
          </w:p>
        </w:tc>
      </w:tr>
      <w:tr>
        <w:trPr>
          <w:cantSplit w:val="false"/>
        </w:trPr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Тонн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20 776 848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44 659 660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83 131 645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90 531 250</w:t>
            </w:r>
          </w:p>
        </w:tc>
      </w:tr>
      <w:tr>
        <w:trPr>
          <w:cantSplit w:val="false"/>
        </w:trPr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Кол-во договоров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20 746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125 235</w:t>
            </w:r>
          </w:p>
        </w:tc>
        <w:tc>
          <w:tcPr>
            <w:tcW w:type="dxa" w:w="19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143 935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104 669</w:t>
            </w:r>
          </w:p>
        </w:tc>
      </w:tr>
    </w:tbl>
    <w:p>
      <w:pPr>
        <w:pStyle w:val="style0"/>
        <w:jc w:val="both"/>
        <w:rPr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88"/>
        <w:gridCol w:w="3193"/>
      </w:tblGrid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Нефть</w:t>
            </w:r>
          </w:p>
        </w:tc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2013</w:t>
            </w:r>
          </w:p>
        </w:tc>
        <w:tc>
          <w:tcPr>
            <w:tcW w:type="dxa" w:w="3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2014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Кол-во компаний</w:t>
            </w:r>
          </w:p>
        </w:tc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11</w:t>
            </w:r>
          </w:p>
        </w:tc>
        <w:tc>
          <w:tcPr>
            <w:tcW w:type="dxa" w:w="3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21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Тонн</w:t>
            </w:r>
          </w:p>
        </w:tc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31 847 230</w:t>
            </w:r>
          </w:p>
        </w:tc>
        <w:tc>
          <w:tcPr>
            <w:tcW w:type="dxa" w:w="3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86 187 434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Кол-во договоров</w:t>
            </w:r>
          </w:p>
        </w:tc>
        <w:tc>
          <w:tcPr>
            <w:tcW w:type="dxa" w:w="3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470</w:t>
            </w:r>
          </w:p>
        </w:tc>
        <w:tc>
          <w:tcPr>
            <w:tcW w:type="dxa" w:w="3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564</w:t>
            </w:r>
          </w:p>
        </w:tc>
      </w:tr>
    </w:tbl>
    <w:p>
      <w:pPr>
        <w:pStyle w:val="style0"/>
        <w:jc w:val="both"/>
        <w:rPr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Уголь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2012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2013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2014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Кол-во компаний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32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71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61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Тонн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213 193 398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224 007 544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159 698 295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Кол-во договоров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1 544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20 072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10 761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можно говорить о качественном улучшении рыночной инфраструктуры организации биржевой торговли, и поведения участников биржевых торгов.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 целью дальнейшего развития биржевой торговли, а также устранения слабых мест выявленных в процессе применения вышеуказанных нормативных актов на практике, Федеральной антимонопольной службой разработаны следующие изменения:</w:t>
      </w:r>
    </w:p>
    <w:p>
      <w:pPr>
        <w:pStyle w:val="style22"/>
        <w:numPr>
          <w:ilvl w:val="0"/>
          <w:numId w:val="1"/>
        </w:numPr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репрезентативных ценовых индикаторов, которые учитывают ценовые параметры сделок с нефтью и нефтепродуктами, заключенных, в том числе, на внебиржевом рынке, как экспортных, так и на поставку на внутренний рынок Федеральная антимонопольная служба разработала проект постановления Правительства Российской Федерации «О внесении изменений в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предполагает дополнение перечня товаров, в отношении которого предусмотрена обязанность предоставления биржам сведений о внебиржевых договорах, предметом которых являются сделки с газом природным экспортные сделки с нефтью.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конкретизируются лица, на которых возложена ответственность за предоставление информации о внебиржевом договоре. В соответствии с вносимыми изменениями, таким лицом является производитель товара или лицо, действующее в интересах и за счет производителя.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предусмотренные Проектом постановления, также коснулись перечня сведений, предоставляемых бирже лицом, заключившим внебиржевой договор для внесения такого договора в реестр. Указанные изменения, по мнению ФАС России, позволят повысить качество предоставляемых сведений и, соответственно, внебиржевого индикатора, а также получать информацию из реестра внебиржевых договоров для целей не только антимонопольного, но и налогового контроля. </w:t>
      </w:r>
    </w:p>
    <w:p>
      <w:pPr>
        <w:pStyle w:val="style22"/>
        <w:numPr>
          <w:ilvl w:val="0"/>
          <w:numId w:val="1"/>
        </w:numPr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приказа ФАС России и Минэнерго России «О внесении изменений в приказ ФАС России № 313/13 и Минэнерго России № 225 от 30.04.2013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</w:t>
      </w:r>
    </w:p>
    <w:p>
      <w:pPr>
        <w:pStyle w:val="style22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предусматривает утверждение минимальных величин продаваемой на бирже нефти, а также отдельных категорий товаров, выработанных из нефти и газа, произведенных и (или) реализуемых хозяйствующим субъектом, занимающим доминирующее положение на соответствующих товарных рынках.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частью реализации концепции Энергетической стратегии России на период до 2030 года, утвержденной распоряжением Правительства Российской Федерации от 13.11.2009 № 1715-Р, отмечающей необходимость создания и развития отечественных систем биржевой торговли всеми видами топливно-энергетических ресурсов, в том числе нефтью.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 предлагается утвердить минимальную величину продаваемой на бирже нефти, реализуемой занимающим доминирующее положение хозяйствующим субъектом, в том числе лицами, входящими в одну группу лиц с таким хозяйствующим субъектом, и (или) участниками биржевых торгов, которые действуют в интересах и за счет указанных лиц, в размере 5 % от месячного объема добычи каждым занимающим доминирующее положение хозяйствующим субъектом. Также планируется установить требования к биржевым торгам по минимальному объему продаваемой на биржевых торгах нефти, реализуемой занимающими доминирующее положение хозяйствующими субъектами, в том числе лицами, входящими в одну группу лиц с такими хозяйствующими субъектами, и (или) участниками биржевых торгов, которые действуют в интересах и за счет указанных лиц, на уровне не менее 4% от месячного совокупного объема добычи нефти всеми занимающими доминирующее положение хозяйствующими субъектами, в том числе лицами, входящими в одну группу лиц с такими хозяйствующими субъектами.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3.ФАС России по итогам обсуждений проекта приказа, а также с учётом необходимости нормативно способствовать исключению из режима анонимных торгов адресных сделок внес поправки, дающие возможность заключения адресных сделок в рамках отдельной сессии, сделки на которой заключаются по средневзвешенным ценам, сформированным в условиях рыночного ценообразования на предшествующей торговой сессии.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4. ФАС России разработано и в настоящее время находится в стадии подписания соглашение по совершенствованию механизмов реализации нефти и нефтепро</w:t>
      </w:r>
      <w:bookmarkStart w:id="0" w:name="_GoBack"/>
      <w:bookmarkEnd w:id="0"/>
      <w:r>
        <w:rPr>
          <w:sz w:val="28"/>
          <w:szCs w:val="28"/>
        </w:rPr>
        <w:t>дуктов для заключения его между заинтересованными федеральными органами исполнительной власти и участниками рынка (Биржевой совет).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По мнению ФАС России, реализация всех предложенных мер благоприятно повлияет на развитее рыночных отношений, повысит прозрачность ценообразования, качество как антимонопольного регулирования на соответствующих рынках, так и налогового контроля и создаст необходимые предпосылки для дальнейшего развития.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2014-10-29T09:59:00Z</dcterms:created>
  <dc:creator>Лянскоронский Денис Леонидович</dc:creator>
  <cp:lastModifiedBy>Орлова Анна Юрьевна</cp:lastModifiedBy>
  <cp:lastPrinted>2014-10-29T11:02:00Z</cp:lastPrinted>
  <dcterms:modified xsi:type="dcterms:W3CDTF">2014-10-29T11:07:00Z</dcterms:modified>
  <cp:revision>3</cp:revision>
</cp:coreProperties>
</file>