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Предложения по развитию конкуренции на рынках лекарственных средств на 2015-2016 годы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r>
    </w:p>
    <w:tbl>
      <w:tblPr>
        <w:tblW w:type="dxa" w:w="15577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62"/>
        <w:gridCol w:w="4737"/>
        <w:gridCol w:w="4319"/>
        <w:gridCol w:w="1507"/>
        <w:gridCol w:w="1426"/>
        <w:gridCol w:w="1525"/>
      </w:tblGrid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(краткое наименование проблемы)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(описание проблемы)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Пути решения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(предложение по развитию конкуренции)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(срок реализации предложения по развитию конкуренции)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Отсутствие механизма реализации норм Федерального закона «Об обращении лекарственных средств» о взаимозаменяемости лекарственных препаратов, в редакции законопроекта Правительства Российской Федерации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приказа Минздрава России о проведении до 31.12.2018 комиссией экспертов ФГБУ экспертизы лекарственных средств при проведении экспертизы лекарственных препаратов для медицинского применения в части экспертизы качества лекарственного средства и (или) экспертизы отношения ожидаемой пользы к возможному риску применения лекарственного препарата для медицинского применения, в целях подтверждения взаимозаменяемости лекарственных препаратов для медицинского применения, зарегистрированных до вступления в силу поправок в Федеральный закон «Об обращении лекарственных средств».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Январь 2015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Отсутствие правового регулирования, направленного на реализацию механизма установления отдельных аспектов взаимозаменяемости биологических лекарственных препаратов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 связи с принятием статьи 27</w:t>
            </w:r>
            <w:r>
              <w:rPr>
                <w:rFonts w:cs="Times New Roman"/>
                <w:vertAlign w:val="superscript"/>
                <w:lang w:eastAsia="ru-RU"/>
              </w:rPr>
              <w:t>1</w:t>
            </w:r>
            <w:r>
              <w:rPr>
                <w:rFonts w:cs="Times New Roman"/>
                <w:lang w:eastAsia="ru-RU"/>
              </w:rPr>
              <w:t xml:space="preserve"> Федерального закона «Об обращении лекарственных средств» в редакции законопроекта, внесенного Правительством Российской Федерации в Государственную Думу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приказа Минздрава России о порядке предоставления доказательств эквивалентности показателей качественных и количественных характеристик фармацевтических субстанций, фармакокинетики, фармакодинамики, безопасности и эффективности биоаналогов.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Январь 2015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Завышенные розничные цены на лекарственные препараты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Завышенные цены на лекарства свидетельствуют о том, что даже по тем лекарственным препаратам, по которым зарегистрировано более двух торговых наименований в рамках одного МНН, конкуренция ограничена как в государственном, так и в коммерческом секторе продаж. Это связано с отсутствием у заказчиков и населения доступной информации о взаимозаменяемых лекарствах 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Добавление сведений о признании лекарственных препаратов взаимозаменяемыми в Государственный реестр лекарственных средств.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Информирование врачебного сообщества, госзаказчиков и населения о взаимозаменяемых лекарственных средствах.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Повышение конкуренции, снижение цен на оригинальные и  воспроизведенные препараты.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Росздравнадзор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Существенные различия в инструкциях по медицинскому применению обращаемых на территории Российской Федерации аналогичных лекарственных препаратов, имеющих одно МНН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Отсутствие реестра типовых инструкций по медицинскому применению взаимозаменяемых лекарственных препаратов, который необходим для реализации норм Федерального закона «Об обращении лекарственных средств» в редакции законопроекта Правительства Российской Федерации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приказа Минздрава России о реестре типовых инструкций по медицинскому применению взаимозаменяемых лекарственных препаратов.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Введение требований унификации инструкций по медицинскому применению, установление автоматического внесения изменений во все аналогичные препараты при изменении данных о противопоказаниях и побочных эффектах одного из взаимозаменяемых лекарственных средств.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Январь 2018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Установление единообразия содержания инструкций воспроизведенных и оригинальных лекарственных препаратов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Отсутствие перечня наименований лекарственных форм и стандартных дозировок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 связи с отсутствием перечня наименований лекарственных форм и стандартных дозировок зарегистрированные в Российской Федерации лекарственные препараты имеют множество искусственно созданных лекарственных форм и дозировок, не имеющих существенных клинически значимых отличий, что приводит к ограничению конкуренции, в том числе к злоупотреблениям заказчиками на торгах путем указания в заявках лекарственных препаратов в уникальных формах и дозировках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приказа Минздрава России об утверждении перечня наименований лекарственных форм.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приказа Минздрава России об эквивалентности ранее зарегистрированных лекарственных форм.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приказа Минздрава России, вводящего требования регистрации стандартных дозировок лекарственных препаратов в соответствии со стандартами лечения и  инструкциями по медицинскому применению.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Усиление ответственности фармпроизводителей за введение потребителей, государственных и муниципальных заказчиков в заблуждение относительно технических свойств и характеристик препаратов вплоть до отмены регистрации таких препаратов.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Январь 2015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Унификация лекарственных форм и дозировок</w:t>
            </w:r>
          </w:p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Отсутствие четких требований к регистрационному досье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Отсутствие четких правил и требований приводит к необходимости переоформления документов, что затягивает срок регистрации и вывода на рынок лекарственных препаратов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приказа Минздрава России об установлении порядка формирования регистрационного досье, с указанием требований к документам и данным в составе регистрационного досье.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Январь 2015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Трудности в правоприменительной практике производителей лекарственных препаратов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Невозможность уточнения вопросов, возникающих в ходе экспертизы и устранения несущественных недостатков, присутствующих в документах, представленных на экспертизу в оперативном порядке. Это часто приводит к формированию «отрицательных заключений», что увеличивает сроки регистрации, так как влечет необходимость повторного обращения заявителя в уполномоченный орган.</w:t>
            </w:r>
          </w:p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 заявителей отсутствует возможность предварительного согласования с экспертами объема и порядка проведения исследований в отношении инновационных лекарственных препаратов.</w:t>
            </w:r>
          </w:p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Принятие приказа Минздрава России об утверждении  порядка дачи разъяснений по запросу субъекта обращения лекарственных средств положений документации, связанной с государственной регистрацией лекарственных препаратов, </w:t>
              <w:br/>
              <w:t xml:space="preserve">в том числе касающихся вопросов проведения доклинических </w:t>
              <w:br/>
              <w:t>и клинических исследований в целях осуществления государственной регистрации лекарственных препаратов.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Январь 2015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Своевременная регистрация лекарственных препаратов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Совмещение процедур государственной регистрации и клинических исследований лекарственных средств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Совмещение процедур государственной регистрации и клинических исследований лекарственных средств препятствует инновациям в этой сфере, поскольку не дает возможности проводить клинические исследования, не связанные с регистрационными процедурами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поправок в Федеральный закон «Об обращении лекарственных средств», предусматривающих выведение процедуры получения разрешения на проведение клинических исследований и сам процесс проведения клинических исследований из регистрационных процедур.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Упрощение и ускорение процесса регистрации лекарственных препаратов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Злоупотребление производителей инновационных лекарственных препаратов своим положением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Производители (их законные представители) инновационных лекарственных препаратов отказываются предоставлять производителям дженериков образцы своих препаратов, что приводит к невозможности выхода на рынок дженериковых препаратов и увеличивает стоимость лекарств </w:t>
            </w:r>
          </w:p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Федерального закона о внесении изменений в отдельные законодательные акты в связи с принятием поправок в Федеральный закон «Об обращении лекарственных средств», предусматривающего ответственность за непредставление по истечении четырех лет с даты государственной регистрации препарата по просьбе заявителей образцов лекарственного препарата, для целей государственной регистрации лекарственного препарата, а также за нарушение требования о максимальной стоимости образца лекарственного препарата, входящего в перечень ЖНВЛП.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Июль 2015 (внесение проекта в Правительство Российской Федерации)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Непризнание результатов международных клинических исследований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Непризнание результатов международных клинических исследований тормозит выход на рынок Российской Федерации новых лекарственных препаратов в связи с необходимостью проведения клинических исследований на территории России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поправок в Федеральный закон «Об обращении лекарственных средств», предусматривающих отмену требования о необходимости проведения повторных локальных клинических исследований и исследований биоэквивалентности на территории Российской Федерации в случае наличия результатов международных исследований, проведенных в соответствии с требованиями правил надлежащей клинической практики, независимо от страны проведения.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Упрощение и ускорение процесса регистрации лекарственных препаратов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Отсутствует ответственность должностных лиц, принимающих решение о государственной регистрации лекарственных препаратов, за нарушение ими сроков регистрации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Несоблюдение сроков регистрации, а также сроков экспертиз приводит к невозможности своевременного вывода препарата на фармрынок, что ограничивает конкуренцию 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федерального закона о внесении изменений в отдельные законодательные акты в связи с принятием поправок в Федеральный закон «Об обращении лекарственных средств», устанавливающих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ответственность за нарушение максимально допустимых  сроков для направления заключений, в том числе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экспертами экспертного учреждения, нарушения сроков принятия решения  уполномоченным федеральным органом исполнительной власти, касающихся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ускоренной процедуры экспертизы лекарственных средств, государственной регистрации  лекарственных препаратов,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подтверждения государственной регистрации лекарственного препарата и других сроков, установленных в Федеральном законе «Об обращении лекарственных средств».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Июль 2015 (внесение проекта в Правительство Российской Федерации)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Отсутствие гарантированного качества импортных лекарственных средств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Отсутствие возможности инспектирования зарубежных площадок создает возможность введения в обращение на территории Российской Федерации некачественных лекарственных средств.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Введение требования о производстве в условиях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 w:val="en-US"/>
              </w:rPr>
              <w:t>GMP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 всех поступающих на территорию Российской Федерации лекарственных препаратов.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Установление требований подтверждения соответствия зарубежных площадок, производящих лекарственные препараты для Российской Федерации, сертификатами, выданными уполномоченными органами Системы сотрудничества фармацевтических инспекций (Pharmaceuticalinspectioncooperationscheme - </w:t>
            </w: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ru-RU"/>
              </w:rPr>
              <w:t>PIC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ru-RU"/>
              </w:rPr>
              <w:t xml:space="preserve">S), а также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процедуры их признания.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Формирование механизмов инспектората иностранных фармпроизводителей.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– 2016 гг.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Расширение присутствия на рынке добросовестных производителей качественных лекарственных средств.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Обеспечение контроля качества поступающих в обращение на территорию Российской Федерации лекарственных препаратов, производимых как внутри, так и за пределами Российской Федерации.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Минпромторг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Отсутствуют требования, гармонизированные с международной практикой (</w:t>
            </w:r>
            <w:r>
              <w:rPr>
                <w:rFonts w:cs="Times New Roman"/>
                <w:lang w:eastAsia="ru-RU" w:val="en-US"/>
              </w:rPr>
              <w:t>GxP</w:t>
            </w:r>
            <w:r>
              <w:rPr>
                <w:rFonts w:cs="Times New Roman"/>
                <w:lang w:eastAsia="ru-RU"/>
              </w:rPr>
              <w:t>)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Отсутствие правил надлежащей лабораторной практики, правил надлежащей клинической практики, правил надлежащей практики хранения и перевозки лекарственных препаратов, правил надлежащей практики реализации лекарственных препаратов для медицинского применения, правил надлежащей аптечной практики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приказов Минздрава России об утверждении правил надлежащей лабораторной практики, правил надлежащей клинической практики, правил надлежащей практики хранения и перевозки лекарственных препаратов, правил надлежащей практики реализации лекарственных препаратов для медицинского применения, правил надлежащей аптечной практики.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Указание лекарственных форм в перечне ЖНВЛП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Включение в перечни лекарств с указанием лекарственных форм, косвенно определяющих конкретные торговые наименования препаратов, приводит к ограничению конкуренции среди производителей лекарств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Замена в ограничительных перечнях лекарственных форм на способы применения/введения.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Устранение необоснованной дискриминации производителей лекарственных препаратов.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trHeight w:hRule="atLeast" w:val="1975"/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Отсутствие перечней рецептурных и безрецептурных лекарственных препаратов для медицинского применения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постановления Правительства Российской Федерации о  порядке формирования и внесения изменений в перечень лекарственных препаратов, отпускаемых по рецепту врача.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Принятие приказа Минздрава России об утверждении перечня лекарственных препаратов, отпускаемых по рецепту врача.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Ужесточение правил отпуска рецептурных препаратов и усиление контроля за таким отпуском.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Февраль 2015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Март 2015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</w:tc>
      </w:tr>
      <w:tr>
        <w:trPr>
          <w:cantSplit w:val="false"/>
        </w:trPr>
        <w:tc>
          <w:tcPr>
            <w:tcW w:type="dxa" w:w="206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Проблемы регулирования цен на жизненно необходимые и важнейшие лекарственные препараты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Жесткое неэффективное административное регулирование цен на жизненно необходимые и важнейшие лекарственные препараты привело к выводу из обращения дешевых лекарственных препаратов в связи с незаинтересованностью поставщиков в их реализации, убыточности производства отдельных лекарственных препаратов, появлению большого количества не имеющих клинических преимуществ новых лекарственных форм, дозировок, упаковок и значительному росту цен на обновленные препараты, необоснованному росту цен на лекарственные препараты, не входящие в перечень ЖНВЛП и, в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 xml:space="preserve"> результате, хотя цены на конкретные препараты государство стабилизировало, в целом затраты населения на лекарственные средства увеличились. 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Разработка новой модели лекарственного обеспечения, включающей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переход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 к системе лекарственного возмещения.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Корректировка действующего порядка регулирования цен на ЖНВЛП (до перехода к системе лекарственного возмещения), а именно: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  <w:t>2015-2016 гг.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Повышение ценовой и физической доступности лекарств населению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Минэкономразвития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Минэкономразвития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Минпромторг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ФСТ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trHeight w:hRule="atLeast" w:val="4830"/>
          <w:cantSplit w:val="false"/>
        </w:trPr>
        <w:tc>
          <w:tcPr>
            <w:tcW w:type="dxa" w:w="20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Возможность введения в оборот препаратов, входящих в Перечень ЖНВЛП, связана с наличием наряду с регистрационным удостоверением зарегистрированной цены на него. В то же время, регистрация цены занимает значительный период времени – не менее 35 рабочих дней, а также не предусматривает возможности внесения изменений в реестр цен при технических изменениях, не затрагивающих ценообразование (смена наименования юридического лица, его адреса, наименования препарата и т.д.). При внесении изменений в нормативную документацию препарата после регистрации цены на него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 xml:space="preserve">производитель вынужден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повторно предоставлять полный комплект документов и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каждый раз проходить процедуру регистрации цены на тот же самый препарат.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Одновременная регистрация препарата и цены на него для сокращения процедуры и времени регистрации цены.</w:t>
            </w:r>
          </w:p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Введение возможности оперативного внесения изменений в реестр цен на препараты, входящие в ЖНВЛП, без прохождения процедуры перерегистрации цены в случае технических изменений, не затрагивающих ценообразование.</w:t>
            </w:r>
          </w:p>
          <w:p>
            <w:pPr>
              <w:pStyle w:val="style37"/>
              <w:spacing w:after="0" w:before="0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Повышение конкуренции, обеспечит возможность участия в очередных закупках каждого из потенциальных участников, поскольку необходимость регистрации цены или внесения изменений не смогут повлиять на возможность такого участия.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0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 xml:space="preserve">В список </w:t>
            </w: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  <w:t>референтных стран</w:t>
            </w: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, представленных в Методике в качестве сравнения для иностранных производителей, включена 21 страна, при этом как страны с высоким уровнем цен, так и страны с традиционно низкими ценами, а также страны, находящиеся в серьезном экономическом кризисе, в которых цена на лекарства – результат временных договоренностей правительств с фармпроизводителями.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ересмотр списка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представленных в Методике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референтных стран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 и создание механизма учета особых ситуаций в отдельных странах, когда цены на препараты в таких странах не будут учитываться.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Минэкономразвития России 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ФСТ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0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iCs/>
                <w:sz w:val="24"/>
                <w:szCs w:val="24"/>
                <w:lang w:eastAsia="ru-RU"/>
              </w:rPr>
              <w:t xml:space="preserve">При регистрации предельных отпускных цен не осуществляется проверка достоверности представленных заявителями данных. </w:t>
            </w: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 xml:space="preserve">По результатам проведенной ФАС России проверки </w:t>
            </w:r>
            <w:r>
              <w:rPr>
                <w:rFonts w:ascii="Times New Roman" w:cs="" w:hAnsi="Times New Roman"/>
                <w:bCs/>
                <w:iCs/>
                <w:sz w:val="24"/>
                <w:szCs w:val="24"/>
                <w:lang w:eastAsia="ru-RU"/>
              </w:rPr>
              <w:t xml:space="preserve">уполномоченных органов исполнительной власти по вопросам исполнения законодательства в сфере ценообразования на ЖНВЛП при регистрации предельных отпускных цен производителей были выявлены многочисленные </w:t>
            </w: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 xml:space="preserve">факты регистрации существенно </w:t>
            </w: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  <w:t>завышенных цен</w:t>
            </w: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 xml:space="preserve"> на лекарственные средства по </w:t>
            </w: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  <w:t>недостоверным или некорректным данным.</w:t>
            </w:r>
            <w:r>
              <w:rPr>
                <w:rFonts w:ascii="Times New Roman" w:cs="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Такие л</w:t>
            </w: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  <w:t>екарственные препараты, зарегистрированные по завышенным ценам, продолжают обращаться на рынке.</w:t>
            </w:r>
          </w:p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Введение механизма обязательной проверки достоверности представляемых иностранными компаниями данных о ценах на лекарственные препараты в иных странах, а также предусмотреть административную ответственность за предоставление недостоверной информации.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ФСТ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0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  <w:t>Фиксация цен на уровне средневзвешенных цен 2009 года</w:t>
            </w:r>
          </w:p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  <w:t xml:space="preserve">привело к убыточности производства отдельных лекарственных препаратов и ухода производителей с рынка, так как в этот период многие отечественные производители осуществляли отпуск лекарств по сниженным ценам для сокращения товарных остатков и реализации лекарств с истекающим остаточным сроком годности. В течение 2010-2012 гг. у производителя отсутствовала реальная возможность пересмотра цен даже с учетом объективного роста расходов и инфляции. Прогнозируемый уровень инфляции (который чаще всего ниже фактического уровня инфляции) не всегда покрывает затраты хозяйствующих субъектов при росте цен на сырье и увеличении производственных расходов, а действующие подзаконные нормативные правовые акты не предусматривают перерегистрацию на уровень выше прогноза инфляции. </w:t>
            </w:r>
          </w:p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iCs/>
                <w:sz w:val="24"/>
                <w:szCs w:val="24"/>
                <w:lang w:eastAsia="ru-RU"/>
              </w:rPr>
              <w:t>Внесение изменения в постановление Правительства Российской Федерации от 29.10.2010 № 865 «О государственном регулировании цен на лекарственные препараты, включенные в перечень ЖНВЛП» и в Методику, утвержденную приказом Минздравсоцразвития России № 961н и ФСТ России № 527-а от 03.11.2010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, предусматривающие возможность перерегистрации цен отечественных производителей выше уровня прогноза инфляции и возможность регистрации цен отечественных препаратов выше уровня средневзвешенных при возникновении обстоятельств, в равной степени влияющих на всех производителей определенных препаратов и приводящих к существенному росту издержек производства (например, значительный рост цен на фармацевтические субстанции).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Минэкономразвития России 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ФСТ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0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 xml:space="preserve">По результатам проведенной ФАС России проверки были выявлены факты </w:t>
            </w: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  <w:t>отказов</w:t>
            </w: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 xml:space="preserve"> производителям в регистрации цен на лекарства, в том числе в пересмотре ошибочно зарегистрированных цен. Производители продолжают получать отказы в регистрации цены, даже если предлагают ее снизить.</w:t>
            </w:r>
          </w:p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Создание механизма пересмотра, корректировки и изменения в исключительных случаях уровня уже зарегистрированных цен (например, в случаях, когда допущены существенные технические ошибки или искажены данные при расчете предельных отпускных цен на лекарственные препараты, когда производитель предлагает снизить ранее зарегистрированную цену, когда резко изменились издержки производства и т.д.).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ФСТ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0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  <w:t>Дешевые препараты менее востребованы товаропроводящей цепочкой в связи с регулируемыми предельными надбавками оптовых и розничных продавцов, выраженных в процентах, поскольку прибыль продавца от продажи дорогостоящего лекарственного препарата превышает прибыль от продажи аналогичного лекарственного препарата, имеющего меньшую цену.</w:t>
            </w:r>
          </w:p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Осуществление перехода от предельных оптовых и розничных надбавок, выраженных в процентах, к установлению предельных надбавок в стоимостных и фиксированных показателях (рублях) с дифференциацией по ценовым группам.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Это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будет стимулировать производителей снижать предельные отпускные цены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, поскольку спрос на их товары будет определяться не стремлением оптовых продавцов извлекать максимальную прибыль, а потребностями конечных покупателей (населения)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Минэкономразвития России 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ФСТ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0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NewRomanPSMT" w:hAnsi="Times New Roman"/>
                <w:sz w:val="24"/>
                <w:szCs w:val="24"/>
                <w:lang w:eastAsia="ru-RU"/>
              </w:rPr>
              <w:t xml:space="preserve">В аптечных организациях продолжают выявляться завышенные цены на лекарства. Так, в рамках проведенного ФАС России выборочного исследования информации о ценах, размешенной на Интернет-сайтах справочных служб, было выявлено большое количество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признаков нарушения порядка ценообразования на жизненно необходимые и важнейшие лекарственные препараты в аптечных организациях.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NewRomanPSMT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NewRomanPSMT" w:hAnsi="Times New Roman"/>
                <w:b/>
                <w:sz w:val="24"/>
                <w:szCs w:val="24"/>
                <w:lang w:eastAsia="ru-RU"/>
              </w:rPr>
              <w:t>втоматизация выявления нарушений ценообразования с помощью использования информационных систем автоматического поиска в сети Интернет завышенных цен на лекарства.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Усиление контроля за соблюдением порядка ценообразования на ЖНВЛП</w:t>
            </w:r>
            <w:r>
              <w:rPr>
                <w:rFonts w:ascii="Times New Roman" w:cs="Times New Roman" w:eastAsia="TimesNewRomanPSMT" w:hAnsi="Times New Roman"/>
                <w:sz w:val="24"/>
                <w:szCs w:val="24"/>
                <w:lang w:eastAsia="ru-RU"/>
              </w:rPr>
              <w:t xml:space="preserve"> на всех уровнях дистрибьюции лекарственных препаратов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Росздравнадзор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0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В настоящее время отсутствует переходный период, в течение которого можно регистрировать цены на новые включенные в Перечень ЖНВЛП лекарственные препараты, что приводит к прекращению обращения на территории страны препаратов, включенных в Перечень ЖНВЛП, на срок регистрации цен на них.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Введение переходного периода, в течение которого можно будет регистрировать цены на новые включенные в Перечень ЖНВЛП лекарственные препараты до вступления в силу запрета на продажу, предусмотренного частью 3 статьи 61 Федерального закона от 12.04.2010 № 61-ФЗ «Об обращении лекарственных средств».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</w:tc>
      </w:tr>
      <w:tr>
        <w:trPr>
          <w:cantSplit w:val="false"/>
        </w:trPr>
        <w:tc>
          <w:tcPr>
            <w:tcW w:type="dxa" w:w="20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 настоящее время в Российской Федерации отсутствует единый источник достоверных данных о ценах на лекарства в России и в других странах, которые могли бы использоваться при проверке достоверности данных, поданных на регистрацию цен, при формировании начальных (максимальных) цен контрактов, а также для проведения соответствующих сравнительных исследований.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Создание информационной платформы для размещения информации об оптовых и розничных ценах на лекарства в разных странах 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  <w:t>2015-2016 гг.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Минэкономразвития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ФСТ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Отсутствие регистров пациентов по всем заболеваниям, относящимся к системам лекарственного обеспечения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Это приводит к недостаточной эффективности механизмов контроля над расходами и сложностям планирования затрат на лекарственное обеспечение в соответствии с реальными потребностями здравоохранения и населения.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Создание единой информационной платформы, включающей в себя федеральный и региональные регистры пациентов по всем заболеваниям (в первую очередь по заболеваниям, потенциально относящимся к системам лекарственного обеспечения).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Формирование регистров пациентов по заболеваниям, потенциально относящимся к системам лекарственного обеспечения, формирование подрегистров пациентов, устойчивых к основной терапии.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Разработка требований к ведению регистров пациентов, установление ответственности за нарушение этих требований.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  <w:t>2015 г.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Проведение торгов при отсутствии конкурентного продукта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 xml:space="preserve">Производители инновационных лекарственных препаратов на время действия патентов не имеют конкурентов на рынке, однако закупка таких лекарственных препаратов осуществляется посредством проведения аукционов с соответствующими расходами на осуществление необходимых процедур. 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  <w:t>Заключение с производителями инновационных лекарственных препаратов, находящихся под патентной защитой, ценовых соглашений с учетом цен на препарат в различных (референтных) странах, фактических затрат монополиста и потенциального снижения маркетинговых расходов за счет прямых гарантированных поставок.</w:t>
            </w:r>
          </w:p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  <w:t>Осуществление закупок таких препаратов напрямую у производителей и проведение отдельных торгов на услуги по хранению и доставке лекарственных препаратов в субъекты Российской Федерации.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  <w:t>2015-2016 гг.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Cs/>
                <w:lang w:eastAsia="ru-RU"/>
              </w:rPr>
            </w:pPr>
            <w:r>
              <w:rPr>
                <w:rFonts w:cs="Times New Roman" w:eastAsia="Times New Roman"/>
                <w:bCs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Минэкономразвития России 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ФСТ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Ограничение конкуренции на торгах в связи с отсутствием правил формирования технических заданий на поставку лекарственных средств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Ограничение конкуренции на торгах в связи с отсутствием правил формирования технических заданий на поставку лекарственных средств.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Так, например, при проведении аукционов на поставку лекарственных средств государственные заказчики предъявляют необоснованные, завышенные требования к остаточным срокам годности поставляемого препарата: требуется остаточный срок годности по продолжительности  значительно больше того периода, на который закупается лекарственное средство.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Разработка единых правил формирования технических заданий на поставку лекарственных средств путем разработки типового контракта и его условий.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Ограничить нижний и верхний пределы остаточных сроков годности в типовых контрактах на поставку лекарственных средств.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Децентрализация закупок дорогостоящих лекарственных препаратов, применяемых для лечения пациентов в рамках государственных программ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4"/>
              <w:spacing w:after="0" w:before="0" w:line="100" w:lineRule="atLeast"/>
              <w:ind w:hanging="0" w:left="0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Децентрализация закупок дорогостоящих лекарственных препаратов, применяемых для лечения пациентов в рамках государственных программ, приводит к повышению расходов федерального бюджета и к снижению доступности лекарств для пациентов. Анализ последствий децентрализации закупок антиретровирусных лекарственных препаратов, применяемых для лечения ВИЧ, показал, что в 2013 году 20 % аукционов не состоялись, в том числе 6 % по причине отсутствия заявок, а также показал существенный рост цен и бюджетных затрат на закупку данных препаратов.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Централизованная закупка дорогостоящих лекарственных препаратов позволяет более эффективно расходовать бюджетные средства и снижает риски социальной напряженности в связи с отсутствием или дефицитом необходимых лекарств.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Внесение поправок в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Федеральный закон от 21.11.2011 № 323-ФЗ «Об основах охраны здоровья граждан в Российской Федерации»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, предусматривающих от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мену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передачи органам государственной власти субъектов Российской Федерации осуществления полномочий Российской Федерации по закупкам лекарственных средств, включенных в программу «7 нозологий», а также проведение централизованных закупок препаратов для профилактики, выявления, мониторинга лечения и лечения лиц, инфицированных вирусами иммунодефицита человека и гепатитов В и С.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Невозможность применения оптовых надбавок при участии в торгах на поставку лекарств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Позиция Минэкономразвития России (письмо от 23.04.2014 № Д28п-548) содержит запрет на заключение государственных контрактов на поставку ЖНВЛП с учетом применения оптовых надбавок, что противоречит смыслу государственного регулирования цен на лекарственные препараты для медицинского применения, предусмотренного ФЗ-61, которое требует от организаций оптовой торговли, имеющей лицензию на фармацевтическую деятельность, осуществлять реализацию ЖНВЛП по ценам, уровень которых не превышает сумму фактической отпускной цены, установленной производителем лекарственных препаратов и не превышающей зарегистрированной предельной отпускной цены, и размера оптовой надбавки, не превышающий размера предельной оптовой надбавки, установленной в субъекте Российской Федерации.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Трактовка 44-ФЗ Минэкономразвития России затрудняет участие организаций оптовой торговли лекарственными средствами в торгах. Вместе с тем, производители не имеют возможность участвовать одновременно в тысячах проводимых по всей стране торгов или процедурах запроса котировок. Более того, при централизованных закупках в субъектах Российской Федерации заказчики, в основном, закупают лекарственные препараты одновременно с услугой по их доставке в соответствующие медицинские организации, что весьма затруднительно для многих производителей лекарств, не имеющих соответствующей инфраструктуры и ресурсов. Децентрализованные самостоятельные закупки отдельных заказчиков обычно предусматривают недостаточно крупные объемы поставок, чтобы заинтересовать и окупить расходы на участие в таких торгах производителей.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Внесение поправок в статью 31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Федерального закона от 05.04.2013 № 44-ФЗ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, предусматривающих право применения оптовых надбавок для участников торгов - организаций оптовой торговли лекарственными средствами.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Проблемы патентования лекарственных препаратов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Патенты на фармацевтическую продукцию призваны защитить новые лекарства и стимулировать исследования в области медицины и фармацевтики. Однако на практике количество патентов на выдаваемые действительно новые лекарственные препараты постоянно уменьшается, а общее число патентов на фармацевтическую продукцию увеличивается за счет патентов на незначительные модификации уже существующих препаратов (дополнительные или новые показания к применению, терапевтические методы, комбинации действующих веществ, лекарственные формы, способы производства и пр.).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Цены на запатентованные лекарственные препараты всегда значительно выше цен на препараты, у которых истек срок действия патента и имеющие на рынке конкурентов, поставляющих воспроизведенные лекарственные препараты. Это объясняется необходимостью окупить издержки на исследования и производство, и получить прибыль. Но зачастую фармацевтическая промышленность тратит значительные объемы средств на маркетинг, закладывая их в конечные цены.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Совершенствование патентного законодательства, направленное на ужесточение критериев патентоспособности, ограничение выдачи патентов на открытие любого нового свойства или нового применения уже известного вещества и рассмотрение возражений, препятствующих выдаче патента.</w:t>
            </w:r>
          </w:p>
          <w:p>
            <w:pPr>
              <w:pStyle w:val="style34"/>
              <w:spacing w:after="0" w:before="0" w:line="100" w:lineRule="atLeast"/>
              <w:ind w:hanging="0" w:left="0" w:right="0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34"/>
              <w:spacing w:after="0" w:before="0" w:line="100" w:lineRule="atLeast"/>
              <w:ind w:hanging="0" w:left="0" w:right="0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Применение в исключительных случаях института принудительного лицензирования (выдача разрешения для производства запатентованных фармацевтических продуктов с целью решения проблем общественного здравоохранения).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/>
              <w:contextualSpacing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Минздрав России</w:t>
            </w:r>
          </w:p>
          <w:p>
            <w:pPr>
              <w:pStyle w:val="style35"/>
              <w:spacing w:after="0" w:before="0"/>
              <w:contextualSpacing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ФАС России Роспатент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Некорректное взаимодействие фармкомпаний с врачебным сообществом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 Кодексе об административных правонарушениях до сих пор не предусмотрена ответственность за нарушение предусмотренных ограничений, в связи с чем они остаются декларативными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поправок в Кодекс об административных правонарушениях, вводящих административную ответственность за нарушение данных ограничений, а также за нарушение запретов, введенных статьями 74, 75 Федерального закона № 323-ФЗ «Об основах охраны здоровья граждан в Российской Федерации».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Минздрав России</w:t>
            </w:r>
          </w:p>
          <w:p>
            <w:pPr>
              <w:pStyle w:val="style35"/>
              <w:spacing w:after="0" w:before="0" w:line="100" w:lineRule="atLeast"/>
              <w:contextualSpacing w:val="false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Невозможность фармацевтическим организациям, организованным по принципу сетевых организаций, единовременного лицензирования мест осуществления деятельности в различных субъектах Российской Федерации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Действующая процедура переоформления лицензии в связи с появлением новых мест осуществления розничной фармацевтической  деятельности предусматривает, что фармацевтическая организация при появлении нового адреса места осуществления розничной фармацевтической деятельности в соответствии с положениями ч. 3 статьи 18 Федерального закона от 04.05.2011 № 99-ФЗ «О лицензировании отдельных видов деятельности» (далее – Закон) обязана представлять документы, в т.ч. оригинал действующей лицензии для переоформления в лицензирующий орган субъекта Российской Федерации, в котором находится новый адрес места осуществления розничной фармацевтической деятельности (так как ст.19 Закона предусмотрена выездная проверка лицензирующим органом нового места осуществления  деятельности).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Таким образом, переоформление лицензии в связи с появлением новых адресов мест осуществления розничной фармацевтической деятельности предполагает каждый раз подачу в лицензирующий орган субъекта Российской Федерации оригинала лицензии и каждый раз переоформление (замену) бланка лицензии вместе со всеми ранее оформленными приложениями.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Сетевые фармацевтические организации имеют постоянную потребность и возможность открытия новых адресов мест осуществления розничной фармацевтической деятельности одновременно в различных субъектах Российской Федерации. Каждый раз при появлении нового адреса подается оригинал лицензии, и каждый раз лицензирующим органом субъекта Российской Федерации вместе с лицензией  переоформляются все приложения к ней. Таким образом, одновременное переоформление лицензии (открытие новых адресов мест осуществления деятельности) в нескольких субъектах Российской Федерации исключено.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Это влечет потерю времени, затрудняет развитие розничной фармацевтической сети в рамках одной фармацевтической организации, создает барьеры в развитии конкуренции.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7"/>
                <w:rFonts w:ascii="Times New Roman" w:cs="Times New Roman" w:hAnsi="Times New Roman"/>
                <w:b/>
                <w:color w:val="00000A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Внести изменения в статью 18 Федерального закона от 04.05.2011 № 99-ФЗ «О лицензировании отдельных видов деятельности» и  пункт 3 постановления Правительства Российской Федерации от 21.11.2011 №957 «Об организации лицензирования отдельных видов деятельности», предусматривающие замену процедуры переоформления лицензии в связи с появлением новых адресов мест осуществления деятельности на процедуру оформления лицензирующим органом субъекта Российской Федерации, в котором находится новый адрес места осуществления розничной фармацевтической деятельности, дополнительных приложений к лицензии на новые адреса мест осуществления деятельности, без изменения реквизитов самой лицензии и без необходимости предоставления оригинала лицензии в лицензирующий орган (предоставление копии лицензии, заверенной лицензиатом, без приложений), так как эти данные могут быть проверены лицензирующим органом субъекта Российской Федерации на основании сводного реестра лицензий на сайте Росздравнадзора в сети Интернет </w:t>
            </w:r>
            <w:hyperlink r:id="rId2">
              <w:r>
                <w:rPr>
                  <w:rStyle w:val="style17"/>
                  <w:rFonts w:ascii="Times New Roman" w:cs="Times New Roman" w:hAnsi="Times New Roman"/>
                  <w:b/>
                  <w:color w:val="00000A"/>
                  <w:sz w:val="24"/>
                  <w:szCs w:val="24"/>
                  <w:u w:val="none"/>
                  <w:lang w:eastAsia="ru-RU"/>
                </w:rPr>
                <w:t>http://www.roszdravnadzor.ru/ais/register/rl/search</w:t>
              </w:r>
            </w:hyperlink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Упрощение лицензирования сетевых фармацевтических организаций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Минздрав России,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Минэкономразвития России,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ФАС России</w:t>
            </w:r>
          </w:p>
          <w:p>
            <w:pPr>
              <w:pStyle w:val="style35"/>
              <w:spacing w:after="0" w:before="0"/>
              <w:contextualSpacing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Проблемы доступности лекарственных препаратов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Проблемы доступности лекарственных препаратов в сельской местности и на отдаленных территориях в связи с низкой рентабельностью работы аптечных организаций в таких территориях.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Невозможность приобретения лекарственных препаратов вне аптечных организаций и ФАПов.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Стимулирование развития аптечной сети в небольших, малочисленных, удаленных или труднодоступных муниципальных образованиях и на территориях с низкими доходами населения через предоставление государственных и муниципальных преференций, в том числе льготной аренды помещений, снижения налоговой нагрузки для таких аптечных организаций.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Формирование перечня аптечных товаров, реализация которых возможна в организациях, образующих торговую сеть и осуществляющих розничную продажу продовольственных товаров, а также у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становление порядка их реализации.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Субъекты Российской Федерации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Органы местного самоуправления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</w:tc>
      </w:tr>
      <w:tr>
        <w:trPr>
          <w:cantSplit w:val="false"/>
        </w:trPr>
        <w:tc>
          <w:tcPr>
            <w:tcW w:type="dxa" w:w="20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Незаконная деятельность интернет аптек и существующий запрет на доставку лекарственных препаратов </w:t>
            </w:r>
          </w:p>
        </w:tc>
        <w:tc>
          <w:tcPr>
            <w:tcW w:type="dxa" w:w="47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 соответствии с частью 4 постановления Правительства Российской Федерации от 19.01.1998 № 55 розничная торговля лекарственными препаратами вне аптечной организации (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на дому, по месту работы и учебы, на транспорте, на улице и в иных местах)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запрещена.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27.09.2007 № 612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не допускается продажа дистанционным способом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товаров, свободная реализация которых запрещена или ограничена законодательством Российской Федерации. Указом Президента Российской Федерации от 22.02.1992 № 179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лекарственные средства отнесены к видам продукции, свободная реализация которых запрещена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Несмотря на перечисленные запреты, 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 xml:space="preserve">нтернет-аптеки продолжают функционировать, причем большое количество из них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не имеют лицензий на фармдеятельность, продают в том числе незарегистрированные в России, фальсифицированные и недоброкачественные лекарственные препараты. </w:t>
            </w:r>
          </w:p>
          <w:p>
            <w:pPr>
              <w:pStyle w:val="style0"/>
              <w:spacing w:after="12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Вместе с тем, существует высокий спрос на услуги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по доставке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лекарственных средств аптечными организациями, имеющими лицензию на фармдеятельность, которые могут повысить доступность лекарств гражданам (одиноким людям в период болезни, ухода за ребенком и т.д.).</w:t>
            </w:r>
          </w:p>
        </w:tc>
        <w:tc>
          <w:tcPr>
            <w:tcW w:type="dxa" w:w="43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поправок в Федеральный закон от 27.07.2006 № 149-ФЗ «Об информации, информационных технологиях и о защите информации» в части принятия мер по ограничению доступа к информационным ресурсам, незаконно распространяющим информацию о лекарственных средствах, например в подпункт 1 пункта 5 статьи 15.1.</w:t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Разработка административного регламента Росздравнадзора по осуществлению контроля за дистанционной торговлей лекарственными средствами, медицинскими изделиями и БАД, а также интернет-сайтами организаций, предлагающих медицинские услуги.</w:t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Заключение соглашения Росздравнадзора и Роскомнадзора о сотрудничестве по вопросам блокировки сайтов, используемых для незаконной торговли лекарственными средствами, незарегистрированными медицинскими изделиями и незарегистрированными БАД, а также предложения незаконных медицинских услуг.</w:t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изменений в лицензионные требования к аптечным организациям, предусматривающих возможность получения аптечными организациями разрешения на оказание услуг по доставке лекарственных препаратов физическим лицам.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4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доступности лекарств гражданам, предотвращение незаконной и бесконтрольной деятельности по продаже населению лекарств без соответствующих лицензий</w:t>
            </w:r>
          </w:p>
        </w:tc>
        <w:tc>
          <w:tcPr>
            <w:tcW w:type="dxa" w:w="1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России, Минкомсвязи России,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Росздравнадзор,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Роскомнадзор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headerReference r:id="rId3" w:type="default"/>
      <w:type w:val="nextPage"/>
      <w:pgSz w:h="11906" w:orient="landscape" w:w="16838"/>
      <w:pgMar w:bottom="851" w:footer="0" w:gutter="0" w:header="454" w:left="567" w:right="536" w:top="99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21</w:t>
    </w:r>
    <w:r>
      <w:fldChar w:fldCharType="end"/>
    </w:r>
  </w:p>
  <w:p>
    <w:pPr>
      <w:pStyle w:val="style3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Интернет-ссылка"/>
    <w:basedOn w:val="style15"/>
    <w:next w:val="style17"/>
    <w:rPr>
      <w:color w:val="000080"/>
      <w:u w:val="single"/>
      <w:lang w:bidi="zxx-" w:eastAsia="zxx-" w:val="zxx-"/>
    </w:rPr>
  </w:style>
  <w:style w:styleId="style18" w:type="character">
    <w:name w:val="Верхний колонтитул1"/>
    <w:basedOn w:val="style15"/>
    <w:next w:val="style18"/>
    <w:rPr/>
  </w:style>
  <w:style w:styleId="style19" w:type="character">
    <w:name w:val="Основной текст + Полужирный"/>
    <w:basedOn w:val="style15"/>
    <w:next w:val="style19"/>
    <w:rPr>
      <w:rFonts w:ascii="Times New Roman" w:cs="Times New Roman" w:eastAsia="Times New Roman" w:hAnsi="Times New Roman"/>
      <w:b/>
      <w:bCs/>
      <w:color w:val="000000"/>
      <w:spacing w:val="0"/>
      <w:w w:val="100"/>
      <w:sz w:val="26"/>
      <w:szCs w:val="26"/>
      <w:shd w:fill="FFFFFF" w:val="clear"/>
      <w:lang w:val="ru-RU"/>
    </w:rPr>
  </w:style>
  <w:style w:styleId="style20" w:type="character">
    <w:name w:val="Основной текст2"/>
    <w:basedOn w:val="style15"/>
    <w:next w:val="style20"/>
    <w:rPr>
      <w:rFonts w:ascii="Times New Roman" w:cs="Times New Roman" w:eastAsia="Times New Roman" w:hAnsi="Times New Roman"/>
      <w:color w:val="000000"/>
      <w:spacing w:val="0"/>
      <w:w w:val="100"/>
      <w:sz w:val="26"/>
      <w:szCs w:val="26"/>
      <w:shd w:fill="FFFFFF" w:val="clear"/>
      <w:lang w:val="ru-RU"/>
    </w:rPr>
  </w:style>
  <w:style w:styleId="style21" w:type="character">
    <w:name w:val="Верхний колонтитул Знак"/>
    <w:basedOn w:val="style15"/>
    <w:next w:val="style21"/>
    <w:rPr/>
  </w:style>
  <w:style w:styleId="style22" w:type="character">
    <w:name w:val="Нижний колонтитул Знак"/>
    <w:basedOn w:val="style15"/>
    <w:next w:val="style22"/>
    <w:rPr/>
  </w:style>
  <w:style w:styleId="style23" w:type="character">
    <w:name w:val="ListLabel 1"/>
    <w:next w:val="style23"/>
    <w:rPr>
      <w:sz w:val="20"/>
    </w:rPr>
  </w:style>
  <w:style w:styleId="style24" w:type="character">
    <w:name w:val="ListLabel 2"/>
    <w:next w:val="style24"/>
    <w:rPr>
      <w:rFonts w:cs="Times New Roman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color w:val="000000"/>
      <w:sz w:val="24"/>
    </w:rPr>
  </w:style>
  <w:style w:styleId="style27" w:type="character">
    <w:name w:val="ListLabel 5"/>
    <w:next w:val="style27"/>
    <w:rPr>
      <w:rFonts w:eastAsia="Calibri"/>
    </w:rPr>
  </w:style>
  <w:style w:styleId="style28" w:type="paragraph">
    <w:name w:val="Заголовок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Основной текст"/>
    <w:basedOn w:val="style0"/>
    <w:next w:val="style29"/>
    <w:pPr>
      <w:spacing w:after="120" w:before="0"/>
      <w:contextualSpacing w:val="false"/>
    </w:pPr>
    <w:rPr/>
  </w:style>
  <w:style w:styleId="style30" w:type="paragraph">
    <w:name w:val="Список"/>
    <w:basedOn w:val="style29"/>
    <w:next w:val="style30"/>
    <w:pPr/>
    <w:rPr>
      <w:rFonts w:cs="Mangal"/>
    </w:rPr>
  </w:style>
  <w:style w:styleId="style31" w:type="paragraph">
    <w:name w:val="Название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Указатель"/>
    <w:basedOn w:val="style0"/>
    <w:next w:val="style32"/>
    <w:pPr>
      <w:suppressLineNumbers/>
    </w:pPr>
    <w:rPr>
      <w:rFonts w:cs="Mangal"/>
    </w:rPr>
  </w:style>
  <w:style w:styleId="style33" w:type="paragraph">
    <w:name w:val="Normal (Web)"/>
    <w:basedOn w:val="style0"/>
    <w:next w:val="style33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4" w:type="paragraph">
    <w:name w:val="List Paragraph"/>
    <w:basedOn w:val="style0"/>
    <w:next w:val="style34"/>
    <w:pPr>
      <w:ind w:hanging="0" w:left="720" w:right="0"/>
    </w:pPr>
    <w:rPr>
      <w:rFonts w:ascii="Calibri" w:cs="Calibri" w:eastAsia="Calibri" w:hAnsi="Calibri"/>
    </w:rPr>
  </w:style>
  <w:style w:styleId="style35" w:type="paragraph">
    <w:name w:val="Содержимое таблицы"/>
    <w:basedOn w:val="style0"/>
    <w:next w:val="style35"/>
    <w:pPr>
      <w:widowControl w:val="false"/>
      <w:suppressLineNumbers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sz w:val="24"/>
      <w:szCs w:val="24"/>
      <w:lang w:bidi="hi-IN" w:eastAsia="hi-IN"/>
    </w:rPr>
  </w:style>
  <w:style w:styleId="style36" w:type="paragraph">
    <w:name w:val="ConsPlusNormal"/>
    <w:next w:val="style36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Times New Roman" w:eastAsia="Times New Roman" w:hAnsi="Arial"/>
      <w:color w:val="auto"/>
      <w:sz w:val="20"/>
      <w:szCs w:val="20"/>
      <w:lang w:bidi="ar-SA" w:eastAsia="ar-SA" w:val="ru-RU"/>
    </w:rPr>
  </w:style>
  <w:style w:styleId="style37" w:type="paragraph">
    <w:name w:val="No Spacing"/>
    <w:next w:val="style37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SimSun" w:hAnsi="Calibri"/>
      <w:color w:val="auto"/>
      <w:sz w:val="22"/>
      <w:szCs w:val="22"/>
      <w:lang w:bidi="ar-SA" w:eastAsia="ru-RU" w:val="ru-RU"/>
    </w:rPr>
  </w:style>
  <w:style w:styleId="style38" w:type="paragraph">
    <w:name w:val="Стиль таблицы 2"/>
    <w:next w:val="style38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0" w:before="0" w:line="100" w:lineRule="atLeast"/>
      <w:contextualSpacing w:val="false"/>
    </w:pPr>
    <w:rPr>
      <w:rFonts w:ascii="Helvetica" w:cs="Arial Unicode MS" w:eastAsia="Arial Unicode MS" w:hAnsi="Helvetica"/>
      <w:color w:val="000000"/>
      <w:sz w:val="20"/>
      <w:szCs w:val="20"/>
      <w:lang w:bidi="ar-SA" w:eastAsia="ru-RU" w:val="ru-RU"/>
    </w:rPr>
  </w:style>
  <w:style w:styleId="style39" w:type="paragraph">
    <w:name w:val="Верхний колонтитул"/>
    <w:basedOn w:val="style0"/>
    <w:next w:val="style39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0" w:type="paragraph">
    <w:name w:val="Нижний колонтитул"/>
    <w:basedOn w:val="style0"/>
    <w:next w:val="style40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zdravnadzor.ru/ais/register/rl/search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2014-09-02T06:22:00Z</dcterms:created>
  <dc:creator>sharavskaya</dc:creator>
  <cp:lastModifiedBy>sharavskaya</cp:lastModifiedBy>
  <cp:lastPrinted>2014-09-02T06:23:00Z</cp:lastPrinted>
  <dcterms:modified xsi:type="dcterms:W3CDTF">2014-09-10T10:52:00Z</dcterms:modified>
  <cp:revision>7</cp:revision>
</cp:coreProperties>
</file>