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Предложения по развитию конкуренции на рынках медицинских услуг на 2015-2016 годы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r>
    </w:p>
    <w:tbl>
      <w:tblPr>
        <w:tblW w:type="dxa" w:w="1573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55"/>
        <w:gridCol w:w="5467"/>
        <w:gridCol w:w="3214"/>
        <w:gridCol w:w="1528"/>
        <w:gridCol w:w="1808"/>
        <w:gridCol w:w="1962"/>
      </w:tblGrid>
      <w:tr>
        <w:trPr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Проблема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(краткое наименование проблемы)</w:t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(описание проблемы)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Пути решения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(предложение по развитию конкуренции)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(срок реализации предложения по развитию конкуренции)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>
        <w:trPr>
          <w:cantSplit w:val="false"/>
        </w:trPr>
        <w:tc>
          <w:tcPr>
            <w:tcW w:type="dxa" w:w="175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 xml:space="preserve">Несовершенство законодательства об обязательном медицинском страховании,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дискриминация медицинских организаций по объемам и тарифам оказываемой медицинской помощи</w:t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Не урегулирована процедура распределения объемов медицинской помощи, подлежащих оплате из фондов ОМС, между медицинскими организациями, что приводит к дискриминации медицинских организаций при распределении бюджетных ресурсов, независимо от формы собственности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Внесение в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>Федеральный закон «Об обязательн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>ом медицинском страховании в Российской Федерации» (далее – Закон об ОМС)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положений, регламентирующих деятельность региональных комиссий, исключив процедуру определения объема предоставления медицинской помощи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Июнь 2015 г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Создание равных условий участия медицинских организаций в системе ОМС, предотвращение злоупотреблений региональными комиссиями, связанных с распределением объемов</w:t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Минздрав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ФФОМС</w:t>
            </w:r>
          </w:p>
        </w:tc>
      </w:tr>
      <w:tr>
        <w:trPr>
          <w:cantSplit w:val="false"/>
        </w:trPr>
        <w:tc>
          <w:tcPr>
            <w:tcW w:type="dxa" w:w="17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Не регламентирован правовой статус комиссий по разработке территориальных программ ОМС, в результате чего комиссии не несут ответственность за принимаемые решения и нарушения прав заявителей. 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Внесение в законодательство об ОМС изменений, определяющих правовой статус комиссий, включая положения об обязательном участии в деятельности комиссий представителей государственных и негосударственных медицинских организаций на паритетных началах, а также требование об обязательном утверждении решений комиссии органом исполнительной власти субъекта Российской Федерации, уполномоченным в сфере здравоохранения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Июнь 2015 г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Предотвращение злоупотреблений региональными комиссиями, связанных с распределением объемов</w:t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Минздрав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ФФОМС</w:t>
            </w:r>
          </w:p>
        </w:tc>
      </w:tr>
      <w:tr>
        <w:trPr>
          <w:cantSplit w:val="false"/>
        </w:trPr>
        <w:tc>
          <w:tcPr>
            <w:tcW w:type="dxa" w:w="17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Законодательство об ОМС, декларируя право пациента на выбор медицинской организации, не обеспечивает застрахованным гражданам наличие действующего механизма для реализации права на такой выбор, что приводит к утрате страховыми компаниями функций страховщика, и лишает медицинские организации возможности конкурировать при оказании медицинской помощи в рамках ОМС. При этом частные страховые компании, зачастую не имея лицензии на экспертизу качества медицинской помощи, незаконно проводят проверки и взыскивают штрафы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Внесение в законодательство об ОМС поправок, устраняющих деятельность страховых компаний, и создающих условия прямого направления средств ФФОМС в медицинскую организацию, оказавшую услугу пациенту (то есть осуществление перехода от существующей системы распределения средств ОМС среди медицинских организаций по факту «прикрепления» пациентов к конкретной медицинской организации, к системе оплаты фактически оказанных гражданам медицинских услуг)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Июнь 2015 г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Создание благоприятных условий для развития конкуренции среди медицинских организаций и реализация принципа «деньги идут за пациентом», снижение финансовой нагрузки на систему ОМС в связи с ликвидацией страховых организаций</w:t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Минздрав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ФФОМС</w:t>
            </w:r>
          </w:p>
        </w:tc>
      </w:tr>
      <w:tr>
        <w:trPr>
          <w:cantSplit w:val="false"/>
        </w:trPr>
        <w:tc>
          <w:tcPr>
            <w:tcW w:type="dxa" w:w="17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Отсутствует четкая правовая регламентация расчета тарифов на оплату медицинской помощи по ОМС, что приводит к дискриминации медицинских организаций в зависимости от формы собственности, поскольку при оказании одинаковых услуг затраты частных медицинских организаций выше, чем затраты бюджетных медицинских организаций.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Внесение в Закон об ОМС изменений, позволяющих регламентировать порядок формирования и  структуру тарифов на оплату медицинской помощи, которые не должны быть ниже себестоимости медицинской услуги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Июнь 2015 г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Создание равных условий участия медицинских организаций в системе ОМС</w:t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Минздрав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ФФОМС</w:t>
            </w:r>
          </w:p>
        </w:tc>
      </w:tr>
      <w:tr>
        <w:trPr>
          <w:cantSplit w:val="false"/>
        </w:trPr>
        <w:tc>
          <w:tcPr>
            <w:tcW w:type="dxa" w:w="17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Различная стоимость оказания однотипных медицинских услуг в субъектах Российской Федерации противоречит единым стандартам оказания медицинской помощи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Проведение проверки определения в субъектах Россий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ской Федерации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 тарифов для частных и государственных медицинских организаций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Июнь 2015 г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Создание равных условий участия медицинских организаций в системе ОМС</w:t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ФФОМС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мешение платности и бесплатности медицинских услуг в государственных и муниципальных медицинских организациях</w:t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мешение платности и бесплатности медицинских услуг в государственных и муниципальных медицинских организациях ставит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eastAsia="ru-RU"/>
              </w:rPr>
              <w:t>в неравное положение частные и государственные (муниципальные) медицинские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на рынке платных услуг, поскольку государственные и муниципальные организации, финансируемые из различных источников, оказывают платные медицинские услуги, используя оборудование, расходные материалы, время и трудовые ресурсы, финансирование которых осуществляется в целях оказания гражданам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eastAsia="ru-RU"/>
              </w:rPr>
              <w:t>бесплатной медицинской помощи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, в то время как частные медицинские организации вынуждены покрывать все статьи расходов из одного источника финансирования. При формировании цены в частных медицинских организациях учитываются все статьи, при формировании цены в государственных клиниках в стоимость платных услуг  не включаются стоимость основных фондов, их содержания, затраты на обслуживающий  персонал, охрану, уборщиц, лаборантов и прочее – таким образом происходит занижение затратной части  стоимости медицинской услуги.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Кроме того смешение платности и бесплатности медицинских услуг в государственных и муниципальных медицинских организациях приводит к устойчивому снижению доступности и качества медицинской помощи в бесплатной системе здравоохранения. В ПП РФ от 04.10.2012 № 1006 указано, что оказание платных медицинских услуг «разрешено…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  <w:lang w:eastAsia="ru-RU"/>
              </w:rPr>
              <w:t>на иных условиях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, предусмотренных Программой…»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Коррупция при оказании платных медицинских услуг в ЛПУ: врачи осуществляют лечение за наличный расчет, при этом потраченные материалы списываются на пациентов по  программе гос. гарантий.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Введение запрета на оказание платных услуг в медицинских организациях, получающих бюджетное финансирование основных средств, разрешение оказания платных услуг в государственных медицинских организациях только по «частным страховкам» – индивидуальным полисам ДМС.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Внесение изменений в постановление Правительства Российской Федерации от 04.10.2012 № 1006, определяющих исчерпывающий перечень условий оказания платных медицинских услуг в государственных и муниципальных медицинских организациях.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Установление единых правил по оказанию государственными и муниципальными медицинскими организациями медицинских услуг населению.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Утверждение порядка и усиление информирования государственными и муниципальными медицинскими организациями населения о перечне бесплатных и платных услуг, порядке их оказания, условиях и ценах.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Введение ответственности руководителей государственных и муниципальных медицинских организаций и медицинских работников за незаконное оказание медицинских услуг за плату и за несоблюдение предусмотренного пунктом 3 части 1 статьи 79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ФЗ-323 требования к медицинским организациям об обязательном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информировании граждан о возможности получения медицинской помощи в рамках государственной и территориальных программ государственных гарантий бесплатного оказания гражданам медицинской помощи.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Минздрав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Росздравнадзор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Лицензирование медицинской деятельности (за исключением высокотехнологической медпомощи и федеральных клиник) передано на уровень субъектов Российской Федерации</w:t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Возник конфликт интересов между субъектом Российской Федерации, являющимся собственником, финансовым агентом и лицензионным контролером медицинских учреждений, с одной стороны, и публичными целями надзора, с другой стороны. По итогам проведенных в 2012 году Росздравнадзором проверок реализации исполнительными органами государственной власти субъектов Российской Федерации переданных полномочий Российской Федерации в области лицензирования во всех проверенных субъектах Российской Федерации выявлены нарушения, что свидетельствует об установлении на территории Российской Федерации фактически разных регуляторных режимов, затрудняющих развитие предпринимательской активности в сфере оказания медицинских услуг и защиту прав граждан.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Передача полномочий по лицензированию и лицензионному надзору в сфере оказания медицинских услуг в Росздравнадзор.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Создание и привлечение к оценке качества оказываемых услуг саморегулируемых врачебных объединений.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20015-2016 гг.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Минздрав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Препятствие созданию частных медицинских организаций</w:t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Согласно подпункту «в» пункта 4 Положения о лицензировании медицинской деятельности, утвержденного постановлением Правительства Российской Федерации от 16.04.2012 № 291 к соискателю лицензии на осуществление медицинской деятельности предъявляется требование о наличии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</w:t>
            </w:r>
            <w:hyperlink r:id="rId2">
              <w:r>
                <w:rPr>
                  <w:rStyle w:val="style17"/>
                  <w:rFonts w:ascii="Times New Roman" w:cs="Times New Roman" w:hAnsi="Times New Roman"/>
                  <w:sz w:val="24"/>
                  <w:szCs w:val="24"/>
                  <w:lang w:eastAsia="ru-RU"/>
                </w:rPr>
                <w:t>квалификационными требованиями</w:t>
              </w:r>
            </w:hyperlink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 и общественное здоровье».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Внесение поправок в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Положение о лицензировании медицинской деятельности, утвержденное постановлением Правительства Российской Федерации от 16.04.2012 № 291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Минздрав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Невозможность медицинским организациям,  организованным по принципу сетевых организаций, единовременного лицензирования мест осуществления деятельности в различных субъектах Российской Федерации</w:t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Действующая процедура переоформления лицензии в связи с появлением новых мест осуществления медицинской деятельности предусматривает, что медицинская организация при появлении нового адреса места осуществления медицинской деятельности в соответствии с положениями ч. 3 статьи 18 Федерального закона от 04.05.2011 № 99-ФЗ «О лицензировании отдельных видов деятельности» обязана представлять документы, в т.ч. оригинал действующей лицензии для переоформления в лицензирующий орган субъекта РФ, в котором находится новый адрес места осуществления медицинской деятельности.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Таким образом, переоформление лицензии в связи с появлением новых адресов мест осуществления медицинской деятельности предполагает каждый раз подачу в лицензирующий орган субъекта РФ оригинала лицензии и каждый раз переоформление (замену) бланка лицензии вместе со всеми ранее оформленными приложениями.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Сетевые медицинские организации имеют постоянную потребность и возможность открытия новых адресов мест осуществления медицинской деятельности одновременно в различных субъектах РФ. Каждый раз при появлении нового адреса подается оригинал лицензии, и каждый раз лицензирующим органом субъекта РФ вместе с лицензией  переоформляются все приложения к ней. Таким  образом, одновременное переоформление лицензии (открытие новых адресов мест осуществления деятельности) в нескольких субъектах Российской Федерации исключено.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Это влечет потерю времени, затрудняет развитие медицинской сети в рамках одной медицинской организации, создает барьеры в развитии конкуренции. 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изменения в статью 18 Федерального закона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от 04.05.2011 № 99-ФЗ «О лицензировании отдельных видов деятельности»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 пункт 3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остановления Правительства Российской Федерации от 21.11.2011 №957 «Об организации лицензирования отдельных видов деятельности», предусматривающие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замену процедуры переоформления лицензии в связи с появлением новых адресов мест осуществления деятельности на процедуру оформления лицензирующим органом субъекта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приложений к лицензии на новые адреса мест осуществления деятельности, без изменения реквизитов самой лицензии и без необходимости предоставления оригинала лицензии в лицензирующий орган (предоставление нотариально заверенной копии).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Минздрав России,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Минэкономразвития России,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Слабость надзора в связи с отсутствием ответственности хозяйствующих субъектов и их должностных лиц либо несущественными размерами штрафов</w:t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709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Отсутствие ответственности медицинских работников, руководителей медицинских организаций, фармацевтических компаний за нарушения требований федеральных законов № 61-ФЗ «Об обращении лекарственных средств» и № 323-ФЗ «Об основах охраны здоровья граждан в Российской Федерации» (за подкуп врачей при недобросовестном продвижении лекарственных препаратов и навязывание лекарств пациентам; предоставление пациентам недостоверной информации о лекарствах; нарушение требований к ведению медицинской документации).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Установленные ФЗ-317 штрафы несоразмерны степени общественной опасности правонарушений, а диспозиции сформулированы неконкретно и не позволяют дифференцировать наказание в зависимости от последствий (за «Нарушение законодательства об обращении лекарственных средств» штраф на граждан 1,5 тыс.-3 тыс. руб.; на должностных лиц – 5 тыс-10 тыс. руб.; на юр. лиц, к которым относятся в том числе крупнейшие иностранные фармкомпании с миллионными оборотами – 20 тыс.-30 тыс. руб.).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Административная ответственность за продажу недоброкачественных, фальсифицированных, контрафактных лекарственных средств предусмотрена только в случае если такие действия повлекли за собой причинение вреда здоровью граждан (или создали угрозу причинения вреда жизни или здоровью граждан). Однако причинно-следственную связь между причинением вреда здоровью и приемом некачественного лекарства практически невозможно доказать, и кроме того, объективную сторону данного правонарушения составляют действия, которые сами по себе являются неправомерными, поскольку представляют угрозу здоровью неопределенному кругу лиц и в силу этого не могут быть связаны таким обязательным признаком, как причинение вреда конкретному человеку для того, чтобы быть квалифицированы в качестве правонарушения.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Разработка соответствующих поправок в КоАП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Минздрав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Неравные лицензионные требования к медицинским организациям разных форм собственности  </w:t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При осуществлении лицензирования медицинской деятельности   требования к государственным организациям в части «Табеля оснащения медицинскими изделиями» не предъявляются в полном объеме, в отличие от частных организаций. При этом часть медицинских изделий не требуется медицинской организации, так как разработка табеля велась с точки зрения обоснования расходов на закупку оборудования в государственных ЛПУ.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Внесение поправок в порядки оказания медицинской помощи  в части пересмотра табелей оснащения медицинской организации или в части обязательности  их применения (ввести справочный характер оснащения)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Минздрав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Двойной контроль государственными органами медицинских организаций </w:t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Процедура лицензирования включает подтверждения соответствия медицинской организации на предмет санитарно-эпидемиологических  и иных требований, предъявляемых к такому виду деятельности. При этом ряд надзорных органов предъявляют дублирующие требования, например, требования по утилизации мед.отходов (Росприроднадзор и Роспотребнадзор), природоохранные требования и т.п. 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Исключение дублирования полномочий по контролю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Минздрав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Иные заинтересованные федеральные органы исполнительной власти</w:t>
            </w:r>
          </w:p>
        </w:tc>
      </w:tr>
      <w:tr>
        <w:trPr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Громоздкая система требований к условиям оказания медицинских услуг</w:t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Ежегодно создаются и корректируются различные дополнительные условия оказания медицинской помощи, касающиеся  вспомогательных подразделений, медицинской техники, ставок медработников, количества дополнительных обследований и пр., которые  согласно международным рекомендациям не имеют практического смысла в рамках оказания конкретной медицинской помощи.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Упрощение системы требований к медицинским организациям и приведение ее в соответствие с международными стандартами.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Минздрав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Применение правовых норм, не рассчитанных на применение к частным медицинским организациям.</w:t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 системе ОМС  используется понятие «нецелевое использование средств», однако трактовка данной категории разработана для бюджетных государственных органов и организаций и не применима к частным медицинским организациям. Когда частная клиника оказала  в полном объеме должного качества медицинские услуги в рамках ОМС, не превысив размера средств, выделенных ТФОМС, но  самостоятельно распределила их по статьям расходов, то частной клинике  ТФОМС предъявляет требование об уплате штрафа и взыскании других санкций.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7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  <w:tab w:leader="none" w:pos="15120" w:val="left"/>
                <w:tab w:leader="none" w:pos="15840" w:val="left"/>
                <w:tab w:leader="none" w:pos="16560" w:val="left"/>
                <w:tab w:leader="none" w:pos="17280" w:val="left"/>
                <w:tab w:leader="none" w:pos="18000" w:val="left"/>
                <w:tab w:leader="none" w:pos="18720" w:val="left"/>
                <w:tab w:leader="none" w:pos="19440" w:val="left"/>
                <w:tab w:leader="none" w:pos="20160" w:val="left"/>
                <w:tab w:leader="none" w:pos="20880" w:val="left"/>
                <w:tab w:leader="none" w:pos="21600" w:val="left"/>
                <w:tab w:leader="none" w:pos="22320" w:val="left"/>
                <w:tab w:leader="none" w:pos="23040" w:val="left"/>
                <w:tab w:leader="none" w:pos="2376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Внесение изменений в законодательство, исключающих требование о целевом использовании средств ОМС для частных медицинских организаций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ФОМС</w:t>
            </w:r>
          </w:p>
        </w:tc>
      </w:tr>
      <w:tr>
        <w:trPr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Сложность привлечения инвестиций на закупку дорогостоящего медицинского оборудования</w:t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Лизинговые программы не работают в сфере закупки медицинского оборудования, так как медицинское оборудование не облагается НДС, а услуги лизинга облагаются НДС 18%. То есть применение лизинговых схем увеличивает стоимость на лизинговый процент и еще и на 18% НДС. 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Внесение поправок в Налоговый кодекс Российской Федерации о сохранении льготного начисления НДС при лизинге медицинского оборудования.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Разработка программы по льготному кредитованию медицинских организаций.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Минздрав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  <w:tr>
        <w:trPr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Отсутствие механизмов частно-государственного партнерства в сфере развития  медицинских услуг</w:t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Инвесторы готовы строить социально-значимые объекты (например, медицинские организации), но при условии  гарантированного обеспечения потребления услуг – то есть гарантированного финансирования услуг по государственным гарантиям.  В настоящее время такие гарантии не возможны в силу отсутствия нормативно-правовой базы. 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Разработка нормативно- правовой  базы для частно-государственного партнерства в сфере создания  новых медицинских и социальных организаций путем  привлечения частных инвестиций под госзаказ мед услуг. 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Минздрав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Стаж работы врачей в негосударственном здравоохранении не учитывается при учете стажа для выхода на досрочную пенсию</w:t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Работники частной системы здравоохранения вынуждены отстаивать свои права на досрочную трудовую пенсию по старости в судебном порядке, поскольку ФЗ «О трудовых пенсиях в Российской Федерации» предусматривает назначение указанного вида пенсии для работников учреждений (а не организаций). Таким образом, лица, состоящие в аналогичных должностях  и выполняющие одинаковые трудовые обязанности, находятся в неравном положении.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Предоставление права медицинским работникам частных медицинских организаций пользоваться предусмотренной Федеральным законом «О трудовых пенсиях в Российской Федерации» нормой в части назначения трудовой пенсии по старости ранее достижения пенсионного возраста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Минфин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Минздрав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ФАС России</w:t>
            </w:r>
          </w:p>
        </w:tc>
      </w:tr>
      <w:tr>
        <w:trPr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 w:line="100" w:lineRule="atLeast"/>
              <w:contextualSpacing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Незаконная деятельность интернет сайтов, предлагающих медицинские услуги организаций, не имеющих соответствующих лицензий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type="dxa" w:w="54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 настоящее время действует большое количество сайтов в сети Интернет, осуществляющих рекламу и предлагающих медицинские услуги организаций, не имеющих соответствующих лицензий.</w:t>
            </w:r>
          </w:p>
        </w:tc>
        <w:tc>
          <w:tcPr>
            <w:tcW w:type="dxa" w:w="3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Внесение поправок в Федеральный закон от 27.07.2006 № 149-ФЗ «Об информации, информационных технологиях и о защите информации» в части принятия мер по ограничению доступа к информационным ресурсам, незаконно распространяющим информацию о медицинских услугах, оказываемых организациями, не имеющими соответствующих лицензий.</w:t>
            </w:r>
          </w:p>
          <w:p>
            <w:pPr>
              <w:pStyle w:val="style0"/>
              <w:spacing w:after="0" w:before="0" w:line="100" w:lineRule="atLeast"/>
              <w:contextualSpacing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Разработка административного регламента Росздравнадзора по осуществлению контроля за дистанционной торговлей лекарственными средствами, медицинскими изделиями и БАД, а также интернет-сайтами организаций, предлагающих медицинские услуги. </w:t>
            </w:r>
          </w:p>
          <w:p>
            <w:pPr>
              <w:pStyle w:val="style0"/>
              <w:spacing w:after="0" w:before="0" w:line="100" w:lineRule="atLeast"/>
              <w:contextualSpacing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Заключение соглашения Росздравнадзора и Роскомнадзора о сотрудничестве по вопросам блокировки сайтов, используемых для незаконной торговли лекарственными средствами, незарегистрированными медицинскими изделиями и незарегистрированными БАД, а также предложения незаконных медицинских услуг.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Предотвращение незаконной деятельности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организаций, не имеющих соответствующих лицензий на медицинскую деятельность </w:t>
            </w:r>
          </w:p>
        </w:tc>
        <w:tc>
          <w:tcPr>
            <w:tcW w:type="dxa" w:w="1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Минздрав России, Минкомсвязи России,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Росздравнадзор,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Роскомнадзор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/>
      </w:pPr>
      <w:r>
        <w:rPr/>
      </w:r>
    </w:p>
    <w:sectPr>
      <w:headerReference r:id="rId3" w:type="default"/>
      <w:type w:val="nextPage"/>
      <w:pgSz w:h="11906" w:orient="landscape" w:w="16838"/>
      <w:pgMar w:bottom="567" w:footer="0" w:gutter="0" w:header="454" w:left="567" w:right="536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yle3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7" w:type="character">
    <w:name w:val="Интернет-ссылка"/>
    <w:basedOn w:val="style15"/>
    <w:next w:val="style17"/>
    <w:rPr>
      <w:color w:val="000080"/>
      <w:u w:val="single"/>
      <w:lang w:bidi="zxx-" w:eastAsia="zxx-" w:val="zxx-"/>
    </w:rPr>
  </w:style>
  <w:style w:styleId="style18" w:type="character">
    <w:name w:val="Верхний колонтитул1"/>
    <w:basedOn w:val="style15"/>
    <w:next w:val="style18"/>
    <w:rPr/>
  </w:style>
  <w:style w:styleId="style19" w:type="character">
    <w:name w:val="apple-converted-space"/>
    <w:basedOn w:val="style15"/>
    <w:next w:val="style19"/>
    <w:rPr/>
  </w:style>
  <w:style w:styleId="style20" w:type="character">
    <w:name w:val="Верхний колонтитул Знак"/>
    <w:basedOn w:val="style15"/>
    <w:next w:val="style20"/>
    <w:rPr/>
  </w:style>
  <w:style w:styleId="style21" w:type="character">
    <w:name w:val="Нижний колонтитул Знак"/>
    <w:basedOn w:val="style15"/>
    <w:next w:val="style21"/>
    <w:rPr/>
  </w:style>
  <w:style w:styleId="style22" w:type="character">
    <w:name w:val="ListLabel 1"/>
    <w:next w:val="style22"/>
    <w:rPr>
      <w:sz w:val="20"/>
    </w:rPr>
  </w:style>
  <w:style w:styleId="style23" w:type="character">
    <w:name w:val="ListLabel 2"/>
    <w:next w:val="style23"/>
    <w:rPr>
      <w:rFonts w:cs="Times New Roman"/>
    </w:rPr>
  </w:style>
  <w:style w:styleId="style24" w:type="character">
    <w:name w:val="ListLabel 3"/>
    <w:next w:val="style24"/>
    <w:rPr>
      <w:rFonts w:cs="Courier New"/>
    </w:rPr>
  </w:style>
  <w:style w:styleId="style25" w:type="character">
    <w:name w:val="ListLabel 4"/>
    <w:next w:val="style25"/>
    <w:rPr>
      <w:color w:val="000000"/>
      <w:sz w:val="24"/>
    </w:rPr>
  </w:style>
  <w:style w:styleId="style26" w:type="character">
    <w:name w:val="ListLabel 5"/>
    <w:next w:val="style26"/>
    <w:rPr>
      <w:rFonts w:eastAsia="Calibri"/>
    </w:rPr>
  </w:style>
  <w:style w:styleId="style27" w:type="paragraph">
    <w:name w:val="Заголовок"/>
    <w:basedOn w:val="style0"/>
    <w:next w:val="style2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8" w:type="paragraph">
    <w:name w:val="Основной текст"/>
    <w:basedOn w:val="style0"/>
    <w:next w:val="style28"/>
    <w:pPr>
      <w:spacing w:after="120" w:before="0"/>
      <w:contextualSpacing w:val="false"/>
    </w:pPr>
    <w:rPr/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Mangal"/>
    </w:rPr>
  </w:style>
  <w:style w:styleId="style32" w:type="paragraph">
    <w:name w:val="Normal (Web)"/>
    <w:basedOn w:val="style0"/>
    <w:next w:val="style32"/>
    <w:pPr>
      <w:spacing w:after="119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3" w:type="paragraph">
    <w:name w:val="List Paragraph"/>
    <w:basedOn w:val="style0"/>
    <w:next w:val="style33"/>
    <w:pPr>
      <w:ind w:hanging="0" w:left="720" w:right="0"/>
    </w:pPr>
    <w:rPr>
      <w:rFonts w:ascii="Calibri" w:cs="Calibri" w:eastAsia="Calibri" w:hAnsi="Calibri"/>
    </w:rPr>
  </w:style>
  <w:style w:styleId="style34" w:type="paragraph">
    <w:name w:val="Содержимое таблицы"/>
    <w:basedOn w:val="style0"/>
    <w:next w:val="style34"/>
    <w:pPr>
      <w:widowControl w:val="false"/>
      <w:suppressLineNumbers/>
      <w:suppressAutoHyphens w:val="true"/>
      <w:spacing w:after="0" w:before="0" w:line="100" w:lineRule="atLeast"/>
      <w:contextualSpacing w:val="false"/>
    </w:pPr>
    <w:rPr>
      <w:rFonts w:ascii="Times New Roman" w:cs="Mangal" w:eastAsia="SimSun" w:hAnsi="Times New Roman"/>
      <w:sz w:val="24"/>
      <w:szCs w:val="24"/>
      <w:lang w:bidi="hi-IN" w:eastAsia="hi-IN"/>
    </w:rPr>
  </w:style>
  <w:style w:styleId="style35" w:type="paragraph">
    <w:name w:val="ConsPlusNormal"/>
    <w:next w:val="style35"/>
    <w:pPr>
      <w:widowControl w:val="false"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Times New Roman" w:eastAsia="Times New Roman" w:hAnsi="Arial"/>
      <w:color w:val="auto"/>
      <w:sz w:val="20"/>
      <w:szCs w:val="20"/>
      <w:lang w:bidi="ar-SA" w:eastAsia="ar-SA" w:val="ru-RU"/>
    </w:rPr>
  </w:style>
  <w:style w:styleId="style36" w:type="paragraph">
    <w:name w:val="No Spacing"/>
    <w:next w:val="style36"/>
    <w:pPr>
      <w:widowControl/>
      <w:suppressAutoHyphens w:val="true"/>
      <w:spacing w:after="0" w:before="0" w:line="100" w:lineRule="atLeast"/>
      <w:contextualSpacing w:val="false"/>
    </w:pPr>
    <w:rPr>
      <w:rFonts w:ascii="Calibri" w:cs="Times New Roman" w:eastAsia="SimSun" w:hAnsi="Calibri"/>
      <w:color w:val="auto"/>
      <w:sz w:val="22"/>
      <w:szCs w:val="22"/>
      <w:lang w:bidi="ar-SA" w:eastAsia="ru-RU" w:val="ru-RU"/>
    </w:rPr>
  </w:style>
  <w:style w:styleId="style37" w:type="paragraph">
    <w:name w:val="Стиль таблицы 2"/>
    <w:next w:val="style37"/>
    <w:pPr>
      <w:widowControl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0" w:before="0" w:line="100" w:lineRule="atLeast"/>
      <w:contextualSpacing w:val="false"/>
    </w:pPr>
    <w:rPr>
      <w:rFonts w:ascii="Helvetica" w:cs="Arial Unicode MS" w:eastAsia="Arial Unicode MS" w:hAnsi="Helvetica"/>
      <w:color w:val="000000"/>
      <w:sz w:val="20"/>
      <w:szCs w:val="20"/>
      <w:lang w:bidi="ar-SA" w:eastAsia="ru-RU" w:val="ru-RU"/>
    </w:rPr>
  </w:style>
  <w:style w:styleId="style38" w:type="paragraph">
    <w:name w:val="Верхний колонтитул"/>
    <w:basedOn w:val="style0"/>
    <w:next w:val="style38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9" w:type="paragraph">
    <w:name w:val="Нижний колонтитул"/>
    <w:basedOn w:val="style0"/>
    <w:next w:val="style39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AA051F1FD3B667F61959E232EC0A0A95CBD6E8CC417B82CA98D6D1C0BD8C8A94948C11EB1C5B540i9U0N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2014-07-28T10:30:00Z</dcterms:created>
  <dc:creator>sharavskaya</dc:creator>
  <cp:lastModifiedBy>sharavskaya</cp:lastModifiedBy>
  <cp:lastPrinted>2014-08-01T13:18:00Z</cp:lastPrinted>
  <dcterms:modified xsi:type="dcterms:W3CDTF">2014-09-10T10:54:00Z</dcterms:modified>
  <cp:revision>47</cp:revision>
</cp:coreProperties>
</file>