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A" w:rsidRDefault="00D846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Распоряжением Правительства Российской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Федерации  16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августа 2018 года № 1697-р утвержден </w:t>
      </w:r>
      <w:hyperlink r:id="rId4">
        <w:r>
          <w:rPr>
            <w:rStyle w:val="-"/>
            <w:rFonts w:ascii="Times New Roman" w:hAnsi="Times New Roman" w:cs="Times New Roman"/>
            <w:bCs/>
            <w:color w:val="0000FF"/>
            <w:sz w:val="30"/>
            <w:szCs w:val="30"/>
          </w:rPr>
          <w:t>План</w:t>
        </w:r>
      </w:hyperlink>
      <w:r>
        <w:rPr>
          <w:rFonts w:ascii="Times New Roman" w:hAnsi="Times New Roman" w:cs="Times New Roman"/>
          <w:bCs/>
          <w:sz w:val="30"/>
          <w:szCs w:val="30"/>
        </w:rPr>
        <w:t xml:space="preserve"> мероприятий ("</w:t>
      </w:r>
      <w:r>
        <w:rPr>
          <w:rFonts w:ascii="Times New Roman" w:hAnsi="Times New Roman" w:cs="Times New Roman"/>
          <w:bCs/>
          <w:sz w:val="30"/>
          <w:szCs w:val="30"/>
        </w:rPr>
        <w:t xml:space="preserve">дорожная карта")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    конкурентного   рынка               на 2018 - 2020 годы. </w:t>
      </w:r>
      <w:r>
        <w:rPr>
          <w:rFonts w:ascii="Times New Roman" w:hAnsi="Times New Roman" w:cs="Times New Roman"/>
          <w:sz w:val="30"/>
          <w:szCs w:val="30"/>
        </w:rPr>
        <w:t>Одним из целевы</w:t>
      </w:r>
      <w:r>
        <w:rPr>
          <w:rFonts w:ascii="Times New Roman" w:hAnsi="Times New Roman" w:cs="Times New Roman"/>
          <w:sz w:val="30"/>
          <w:szCs w:val="30"/>
        </w:rPr>
        <w:t xml:space="preserve">х показателей реализации мероприятий по развитию конкуренции на рынке нефти и нефтепродуктов в силу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положений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 утверждённого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Плана (дорожной карты)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является:</w:t>
      </w: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 рыночных механизмов ценообразования путем развития организованных торгов нефтью на экс</w:t>
      </w:r>
      <w:r>
        <w:rPr>
          <w:rFonts w:ascii="Times New Roman" w:hAnsi="Times New Roman" w:cs="Times New Roman"/>
          <w:sz w:val="30"/>
          <w:szCs w:val="30"/>
        </w:rPr>
        <w:t>порт и формирование эталона (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бенчмарк</w:t>
      </w:r>
      <w:proofErr w:type="spellEnd"/>
      <w:r>
        <w:rPr>
          <w:rFonts w:ascii="Times New Roman" w:hAnsi="Times New Roman" w:cs="Times New Roman"/>
          <w:sz w:val="30"/>
          <w:szCs w:val="30"/>
        </w:rPr>
        <w:t>) на российскую нефть;</w:t>
      </w: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 срочного биржевого рынка на нефтепродукты;</w:t>
      </w: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 организованных мелкооптовых торгов и формирование рыночных ценовых индикаторов мелкооптового рынка;</w:t>
      </w: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дерегулирование цен по трансп</w:t>
      </w:r>
      <w:r>
        <w:rPr>
          <w:rFonts w:ascii="Times New Roman" w:hAnsi="Times New Roman" w:cs="Times New Roman"/>
          <w:sz w:val="30"/>
          <w:szCs w:val="30"/>
        </w:rPr>
        <w:t>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рынок;</w:t>
      </w:r>
    </w:p>
    <w:p w:rsidR="00D8466A" w:rsidRDefault="005E39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увеличение объема совершаемых экспортных сделок на нефт</w:t>
      </w:r>
      <w:r>
        <w:rPr>
          <w:rFonts w:ascii="Times New Roman" w:hAnsi="Times New Roman" w:cs="Times New Roman"/>
          <w:sz w:val="30"/>
          <w:szCs w:val="30"/>
        </w:rPr>
        <w:t>ь.</w:t>
      </w:r>
    </w:p>
    <w:p w:rsidR="00D8466A" w:rsidRDefault="00D8466A">
      <w:pPr>
        <w:spacing w:after="0" w:line="240" w:lineRule="auto"/>
        <w:ind w:firstLine="851"/>
        <w:jc w:val="both"/>
        <w:rPr>
          <w:sz w:val="30"/>
          <w:szCs w:val="30"/>
        </w:rPr>
      </w:pP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целом рынок реализации нефти и нефтепродуктов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можно  разделить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3 уровня: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оптовая продажа;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мелкооптовая продажа;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розничная продажа. 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«уровни» рынка находятся в тесной взаимосвязи, что подтверждается наличием корреляции между стоимос</w:t>
      </w:r>
      <w:r>
        <w:rPr>
          <w:rFonts w:ascii="Times New Roman" w:hAnsi="Times New Roman" w:cs="Times New Roman"/>
          <w:sz w:val="30"/>
          <w:szCs w:val="30"/>
        </w:rPr>
        <w:t xml:space="preserve">тью нефтепродуктов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оптовом,  мелкооптовом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 розничном рынках.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Федеральной антимонопольной службы по Ярославской области ежегодно проводит анализ состояния конкуренции: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мелкооптовом рынке автомобильных бензинов в географических границах </w:t>
      </w:r>
      <w:r>
        <w:rPr>
          <w:rFonts w:ascii="Times New Roman" w:hAnsi="Times New Roman" w:cs="Times New Roman"/>
          <w:sz w:val="30"/>
          <w:szCs w:val="30"/>
        </w:rPr>
        <w:t>Ярославской области;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мелкооптовом рынке дизельного топлива в географических границах Ярославской области;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розничном рынке автомобильных бензинов в географических границах Ярославской области;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розничном рынке дизельного топлива в географическ</w:t>
      </w:r>
      <w:r>
        <w:rPr>
          <w:rFonts w:ascii="Times New Roman" w:hAnsi="Times New Roman" w:cs="Times New Roman"/>
          <w:sz w:val="30"/>
          <w:szCs w:val="30"/>
        </w:rPr>
        <w:t>их границах Ярославской области.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Мелкооптовая реализация нефтепродуктов – продажа нефтепродуктов для использования в предпринимательской деятельности (в том числе для перепродажи) или в иных целях, не связанных с личным, семейным, домашним и иным подобным </w:t>
      </w:r>
      <w:r>
        <w:rPr>
          <w:rFonts w:ascii="Times New Roman" w:hAnsi="Times New Roman" w:cs="Times New Roman"/>
          <w:sz w:val="30"/>
          <w:szCs w:val="30"/>
        </w:rPr>
        <w:t>потреблением, путем отгрузки автомобильным транспортом из мест хранения нефтепродуктов (хранилищ, нефтебаз), в том числе с доставкой до контрагентов.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Поставщиками</w:t>
      </w:r>
      <w:r>
        <w:rPr>
          <w:rFonts w:ascii="Times New Roman" w:hAnsi="Times New Roman" w:cs="Times New Roman"/>
          <w:sz w:val="30"/>
          <w:szCs w:val="30"/>
        </w:rPr>
        <w:t xml:space="preserve"> на мелкооптовых рынках автомобильных бензинов и дизельного топлива являются хозяйствующие суб</w:t>
      </w:r>
      <w:r>
        <w:rPr>
          <w:rFonts w:ascii="Times New Roman" w:hAnsi="Times New Roman" w:cs="Times New Roman"/>
          <w:sz w:val="30"/>
          <w:szCs w:val="30"/>
        </w:rPr>
        <w:t>ъекты, осуществляющие деятельность по поставке автомобильных бензинов и дизельного топлива в мелкооптовом сегменте товарного рынка, в том числе хозяйствующие субъекты, закупающие товар преимущественно для целей последующей перепродажи.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Покупателями</w:t>
      </w:r>
      <w:r>
        <w:rPr>
          <w:rFonts w:ascii="Times New Roman" w:hAnsi="Times New Roman" w:cs="Times New Roman"/>
          <w:sz w:val="30"/>
          <w:szCs w:val="30"/>
        </w:rPr>
        <w:t xml:space="preserve"> на мелк</w:t>
      </w:r>
      <w:r>
        <w:rPr>
          <w:rFonts w:ascii="Times New Roman" w:hAnsi="Times New Roman" w:cs="Times New Roman"/>
          <w:sz w:val="30"/>
          <w:szCs w:val="30"/>
        </w:rPr>
        <w:t xml:space="preserve">ооптовых рынках автомобильных бензинов и дизельного топлива являются хозяйствующие субъекты, осуществляющие розничную реализацию автомобильных бензинов и дизельного топлива, крупные промышленные предприятия, приобретающие автомобильные бензины и дизельное </w:t>
      </w:r>
      <w:r>
        <w:rPr>
          <w:rFonts w:ascii="Times New Roman" w:hAnsi="Times New Roman" w:cs="Times New Roman"/>
          <w:sz w:val="30"/>
          <w:szCs w:val="30"/>
        </w:rPr>
        <w:t xml:space="preserve">топливо преимущественно для целей профессионального использования, а также хозяйствующие субъекты, приобретающее товар мелкооптовыми партиями преимущественно для целей последующей перепродажи. 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барьерам входа на мелкооптовый рынок автомобильных бензинов </w:t>
      </w:r>
      <w:r>
        <w:rPr>
          <w:rFonts w:ascii="Times New Roman" w:hAnsi="Times New Roman" w:cs="Times New Roman"/>
          <w:sz w:val="30"/>
          <w:szCs w:val="30"/>
        </w:rPr>
        <w:t xml:space="preserve">и дизельного топлива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необходимо  отнести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следующие ограничения: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b/>
          <w:bCs/>
          <w:sz w:val="30"/>
          <w:szCs w:val="30"/>
        </w:rPr>
        <w:t>Экономические</w:t>
      </w:r>
      <w:r>
        <w:rPr>
          <w:rFonts w:ascii="Times New Roman" w:hAnsi="Times New Roman" w:cs="Times New Roman"/>
          <w:sz w:val="30"/>
          <w:szCs w:val="30"/>
        </w:rPr>
        <w:t xml:space="preserve"> ограничения, в том числе: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издержки выхода с </w:t>
      </w:r>
      <w:r>
        <w:rPr>
          <w:rFonts w:ascii="Times New Roman" w:hAnsi="Times New Roman" w:cs="Times New Roman"/>
          <w:sz w:val="30"/>
          <w:szCs w:val="30"/>
        </w:rPr>
        <w:t xml:space="preserve">рынка, включающие инвестиции, которые невозможно возместить при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прекращении  хозяйственной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деятельности;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наличие экономически оправданного минимального объема производства, обуславливающее для хозяйствующих субъектов более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высокие  затраты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единицу про</w:t>
      </w:r>
      <w:r>
        <w:rPr>
          <w:rFonts w:ascii="Times New Roman" w:hAnsi="Times New Roman" w:cs="Times New Roman"/>
          <w:sz w:val="30"/>
          <w:szCs w:val="30"/>
        </w:rPr>
        <w:t>дукции до момента достижения такого объема производства (эффект масштаба производства).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b/>
          <w:bCs/>
          <w:sz w:val="30"/>
          <w:szCs w:val="30"/>
        </w:rPr>
        <w:t>Административные</w:t>
      </w:r>
      <w:r>
        <w:rPr>
          <w:rFonts w:ascii="Times New Roman" w:hAnsi="Times New Roman" w:cs="Times New Roman"/>
          <w:sz w:val="30"/>
          <w:szCs w:val="30"/>
        </w:rPr>
        <w:t xml:space="preserve"> ограничения, вводимые органами государственной власти и органами местного самоуправления, являются существенными и труднопреодолимыми как с точки зрения входа на рынок новых продавцов, так и с точки зрения расширения объемов продаж действующими нефтехрани</w:t>
      </w:r>
      <w:r>
        <w:rPr>
          <w:rFonts w:ascii="Times New Roman" w:hAnsi="Times New Roman" w:cs="Times New Roman"/>
          <w:sz w:val="30"/>
          <w:szCs w:val="30"/>
        </w:rPr>
        <w:t>лищами. В качестве административного барьера хозяйствующими субъектами выделяется</w:t>
      </w:r>
      <w:r>
        <w:rPr>
          <w:rFonts w:ascii="Times New Roman" w:hAnsi="Times New Roman" w:cs="Times New Roman"/>
          <w:iCs/>
          <w:sz w:val="30"/>
          <w:szCs w:val="30"/>
        </w:rPr>
        <w:t>: условия лицензирования; трудности в получении земельных участков; экологические ограничения; стандарты, предъявляемые к качеству.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>Наличие на мелкооптовых рынках автомобильны</w:t>
      </w:r>
      <w:r>
        <w:rPr>
          <w:rFonts w:ascii="Times New Roman" w:hAnsi="Times New Roman" w:cs="Times New Roman"/>
          <w:iCs/>
          <w:sz w:val="30"/>
          <w:szCs w:val="30"/>
        </w:rPr>
        <w:t>х бензинов и дизельного топлива вертикально интегрированных нефтяных компаний (далее - ВИНК) также приводит к созданию барьеров входа на исследуемый товарный рынок.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Установленными хозяйствующими субъектами (продавцами), действующими на мелкооптовом рынке а</w:t>
      </w:r>
      <w:r>
        <w:rPr>
          <w:rFonts w:ascii="Times New Roman" w:hAnsi="Times New Roman" w:cs="Times New Roman"/>
          <w:sz w:val="30"/>
          <w:szCs w:val="30"/>
        </w:rPr>
        <w:t>втомобильных бензинов марки АИ-92, АИ-95, АИ-98, а также дизельного топлива на территории Ярославской области являются: АО «РН-</w:t>
      </w:r>
      <w:proofErr w:type="gramStart"/>
      <w:r>
        <w:rPr>
          <w:rFonts w:ascii="Times New Roman" w:hAnsi="Times New Roman" w:cs="Times New Roman"/>
          <w:sz w:val="30"/>
          <w:szCs w:val="30"/>
        </w:rPr>
        <w:t>Ярославль» 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Газпромнефть</w:t>
      </w:r>
      <w:proofErr w:type="spellEnd"/>
      <w:r>
        <w:rPr>
          <w:rFonts w:ascii="Times New Roman" w:hAnsi="Times New Roman" w:cs="Times New Roman"/>
          <w:sz w:val="30"/>
          <w:szCs w:val="30"/>
        </w:rPr>
        <w:t>-региональные продажи».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крупным продавцом нефтепродуктов является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b/>
          <w:bCs/>
          <w:sz w:val="30"/>
          <w:szCs w:val="30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Газпромнефть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-Региональные продажи»</w:t>
      </w:r>
      <w:r>
        <w:rPr>
          <w:rFonts w:ascii="Times New Roman" w:hAnsi="Times New Roman" w:cs="Times New Roman"/>
          <w:sz w:val="30"/>
          <w:szCs w:val="30"/>
        </w:rPr>
        <w:t xml:space="preserve"> (ВИНК ПАО «Газпром нефть»), положение которого на мелкооптовых рынках автомобильных бензинов и дизельного топлива Ярославской области является доминирующим. </w:t>
      </w:r>
      <w:bookmarkStart w:id="0" w:name="__DdeLink__67_1993810473"/>
      <w:r>
        <w:rPr>
          <w:rFonts w:ascii="Times New Roman" w:hAnsi="Times New Roman" w:cs="Times New Roman"/>
          <w:sz w:val="30"/>
          <w:szCs w:val="30"/>
        </w:rPr>
        <w:t>Доля указанного хозяйствующего субъекта на 2017</w:t>
      </w:r>
      <w:r>
        <w:rPr>
          <w:rFonts w:ascii="Times New Roman" w:hAnsi="Times New Roman" w:cs="Times New Roman"/>
          <w:sz w:val="30"/>
          <w:szCs w:val="30"/>
        </w:rPr>
        <w:t xml:space="preserve"> год на мелкооптовом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рынке  автомобильных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бензинов </w:t>
      </w:r>
      <w:bookmarkEnd w:id="0"/>
      <w:r>
        <w:rPr>
          <w:rFonts w:ascii="Times New Roman" w:hAnsi="Times New Roman" w:cs="Times New Roman"/>
          <w:sz w:val="30"/>
          <w:szCs w:val="30"/>
        </w:rPr>
        <w:t>марки: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АИ-98 составляет 75 %, 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АИ-95 составляет 97 %, 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АИ-92 составляет 95%.</w:t>
      </w:r>
    </w:p>
    <w:p w:rsidR="00D8466A" w:rsidRDefault="005E39D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Доля указанного хозяйствующего субъекта на 2017 год на </w:t>
      </w:r>
      <w:bookmarkStart w:id="1" w:name="__DdeLink__102_157426514"/>
      <w:r>
        <w:rPr>
          <w:rFonts w:ascii="Times New Roman" w:hAnsi="Times New Roman" w:cs="Times New Roman"/>
          <w:sz w:val="30"/>
          <w:szCs w:val="30"/>
        </w:rPr>
        <w:t xml:space="preserve">мелкооптовом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рынке  дизельного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топлива составляет 94,23%</w:t>
      </w:r>
      <w:bookmarkEnd w:id="1"/>
      <w:r>
        <w:rPr>
          <w:rFonts w:ascii="Times New Roman" w:hAnsi="Times New Roman" w:cs="Times New Roman"/>
          <w:sz w:val="30"/>
          <w:szCs w:val="30"/>
        </w:rPr>
        <w:t>.</w:t>
      </w:r>
    </w:p>
    <w:p w:rsidR="00D8466A" w:rsidRDefault="00D8466A">
      <w:pPr>
        <w:spacing w:after="0" w:line="240" w:lineRule="auto"/>
        <w:ind w:firstLine="624"/>
        <w:jc w:val="both"/>
      </w:pP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АО «РН —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Ярославль» </w:t>
      </w:r>
      <w:r>
        <w:rPr>
          <w:rFonts w:ascii="Times New Roman" w:hAnsi="Times New Roman" w:cs="Times New Roman"/>
          <w:sz w:val="30"/>
          <w:szCs w:val="30"/>
        </w:rPr>
        <w:t xml:space="preserve">на 2017 год на мелкооптовом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рынке  автомобильных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бензинов марки: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АИ-98 составляет 25 %, 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АИ-95 составляет 3 %, </w:t>
      </w: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АИ-92 составляет 5 %.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Доля на </w:t>
      </w:r>
      <w:proofErr w:type="gramStart"/>
      <w:r>
        <w:rPr>
          <w:rFonts w:ascii="Times New Roman" w:hAnsi="Times New Roman" w:cs="Times New Roman"/>
          <w:sz w:val="30"/>
          <w:szCs w:val="30"/>
        </w:rPr>
        <w:t>рынке  дизельного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топлива составляет 5,59%.</w:t>
      </w:r>
    </w:p>
    <w:p w:rsidR="00D8466A" w:rsidRDefault="00D84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Доля </w:t>
      </w:r>
      <w:r>
        <w:rPr>
          <w:rFonts w:ascii="Times New Roman" w:hAnsi="Times New Roman" w:cs="Times New Roman"/>
          <w:b/>
          <w:bCs/>
          <w:sz w:val="30"/>
          <w:szCs w:val="30"/>
        </w:rPr>
        <w:t>ООО «Татнефть-АЗС-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 xml:space="preserve">Запад»  </w:t>
      </w:r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2017 мелкооптовом рынке </w:t>
      </w:r>
      <w:r>
        <w:rPr>
          <w:rFonts w:ascii="Times New Roman" w:hAnsi="Times New Roman" w:cs="Times New Roman"/>
          <w:sz w:val="30"/>
          <w:szCs w:val="30"/>
        </w:rPr>
        <w:t xml:space="preserve"> дизельного топлива составляет 0,18%.</w:t>
      </w:r>
    </w:p>
    <w:p w:rsidR="00D8466A" w:rsidRDefault="00D8466A">
      <w:pPr>
        <w:spacing w:after="0" w:line="240" w:lineRule="auto"/>
        <w:ind w:firstLine="567"/>
        <w:jc w:val="both"/>
      </w:pP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территории Ярославской области за 2017 год на мелкооптовом рынке реализовано 412444 тонн бензинов и 433455 тонн дизельного топлива.</w:t>
      </w:r>
    </w:p>
    <w:p w:rsidR="00D8466A" w:rsidRDefault="005E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Товарные рынки мелкооптовой реализации автомобильных бензинов и дизельного топлива</w:t>
      </w:r>
      <w:r>
        <w:rPr>
          <w:rFonts w:ascii="Times New Roman" w:hAnsi="Times New Roman" w:cs="Times New Roman"/>
          <w:sz w:val="30"/>
          <w:szCs w:val="30"/>
        </w:rPr>
        <w:t xml:space="preserve"> в Ярославской области относятся к рынкам с неразвитой конкуренцией, высоким уровнем концентрации, с труднопреодолимыми барьерами входа на эти рынки.</w:t>
      </w:r>
    </w:p>
    <w:p w:rsidR="00D8466A" w:rsidRDefault="00D84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466A" w:rsidRDefault="005E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466A" w:rsidRDefault="00D846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D8466A" w:rsidRDefault="00D8466A" w:rsidP="005E39D8">
      <w:pPr>
        <w:outlineLvl w:val="0"/>
      </w:pPr>
      <w:bookmarkStart w:id="2" w:name="_GoBack"/>
      <w:bookmarkEnd w:id="2"/>
    </w:p>
    <w:sectPr w:rsidR="00D8466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66A"/>
    <w:rsid w:val="005E39D8"/>
    <w:rsid w:val="00D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44E3-C773-431D-B152-6468964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2"/>
    <w:pPr>
      <w:suppressAutoHyphens/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table" w:styleId="a9">
    <w:name w:val="Table Grid"/>
    <w:basedOn w:val="a1"/>
    <w:rsid w:val="0074574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1BDD955BAE601E595CD9B8E87BA4BE0EB168D8D8E68C9F69F7520E19562CFB74A5A7960DFAB71Q0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</dc:creator>
  <cp:lastModifiedBy>Bezruk</cp:lastModifiedBy>
  <cp:revision>4</cp:revision>
  <cp:lastPrinted>2018-10-02T15:23:00Z</cp:lastPrinted>
  <dcterms:created xsi:type="dcterms:W3CDTF">2018-09-27T07:52:00Z</dcterms:created>
  <dcterms:modified xsi:type="dcterms:W3CDTF">2018-10-03T11:18:00Z</dcterms:modified>
  <dc:language>ru-RU</dc:language>
</cp:coreProperties>
</file>