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166"/>
        <w:jc w:val="center"/>
        <w:rPr/>
      </w:pPr>
      <w:r>
        <w:rPr/>
        <w:drawing>
          <wp:inline distB="0" distL="0" distR="0" distT="0">
            <wp:extent cx="628015" cy="6819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66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Федеральной антимонопольной службы по Ярославской области</w:t>
      </w:r>
    </w:p>
    <w:p>
      <w:pPr>
        <w:pStyle w:val="style166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(Ярославское УФАС России)</w:t>
      </w:r>
    </w:p>
    <w:p>
      <w:pPr>
        <w:pStyle w:val="style166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ПРОТОКОЛ</w:t>
      </w:r>
    </w:p>
    <w:p>
      <w:pPr>
        <w:pStyle w:val="style166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заседания Общественного Совета по электроэнергетики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16 октября 2014 г.                                                                                                        № 2</w:t>
      </w:r>
    </w:p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Председательствовал:                                                                                          Ширков А.В.</w:t>
      </w:r>
    </w:p>
    <w:p>
      <w:pPr>
        <w:pStyle w:val="style166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Завьялов М.Ф.</w:t>
      </w:r>
    </w:p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Ответственный секретарь:                                                                                     Безрук Е.С.</w:t>
      </w:r>
    </w:p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Присутствовали:</w:t>
      </w:r>
    </w:p>
    <w:tbl>
      <w:tblPr>
        <w:jc w:val="left"/>
        <w:tblInd w:type="dxa" w:w="3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33"/>
          <w:bottom w:type="dxa" w:w="55"/>
          <w:right w:type="dxa" w:w="55"/>
        </w:tblCellMar>
      </w:tblPr>
      <w:tblGrid>
        <w:gridCol w:w="4682"/>
        <w:gridCol w:w="4669"/>
      </w:tblGrid>
      <w:tr>
        <w:trPr>
          <w:cantSplit w:val="false"/>
        </w:trPr>
        <w:tc>
          <w:tcPr>
            <w:tcW w:type="dxa" w:w="46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ООО «РУСЭНЕРГОСБЫТ», Северный филиал</w:t>
            </w:r>
          </w:p>
        </w:tc>
        <w:tc>
          <w:tcPr>
            <w:tcW w:type="dxa" w:w="466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начальник юридического отдела Сабурова Ксения Андреевна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«Оборонэнергосбыт», Ярославское областное отделение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начальник Ярославского областного отделения Клиндух Алексей Сергеевич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«Ярославская городская электросеть»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Председатель ликвидационной комиссии  Котиков Константин Викторович, начальник юридического отдела Товстая Ирина Алесеевна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МУП «Горэлектросеть» г.Тутаев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начальник юридического отдела Федорова Екатерина Викторовна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«Рыбинская городская электросеть»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директор Павлов Владимир Олегович, начальник юридического отдела Зобкова Алла Олеговна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«Ресурс» г.Гаврилов-Ям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главный энергетик Кузин Александр Евгеньевич, юрист Новиков С.В.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«Ярославская сбытовая компания»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советник генерального директора Зельев Анатолий Иванович, заместитель генерального директора по продажам электрической энергии Смирнов Олег Валерьевич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ОАО «МРСК Центра» - «Ярэнерго»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заместитель генерального директора — заместитель генерального директора -директор филиала Котиков Константин  Викторович, заместитель директора по реализации и развитию услуг Быстрицкий Владимир Степанович, начальник Управления правового обеспечению Лебедев Дмитрий Леонидович, начальник Управления технологического присоединения Сидоров Андрей Владимирович, начальник Управления реализации электроэнергии Комягин Александр Владимирович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Прокуратура Ярославской области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старший прокурор отдела по надзору за соблюдением Федерального законодательства Прокуратуры Ярославской области Платонова Татьяна Николаевна.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Департамент энергетики и регулирования тарифов Ярославской области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начальник отдела регулирования в электроэнергетической отрасли Жукова Ульяна Владимировна, консультант Отдела энергетики и тарифов на технологическое присоединение  Наумкин Алексей Михайлович</w:t>
            </w:r>
          </w:p>
        </w:tc>
      </w:tr>
      <w:tr>
        <w:trPr>
          <w:cantSplit w:val="false"/>
        </w:trPr>
        <w:tc>
          <w:tcPr>
            <w:tcW w:type="dxa" w:w="468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3"/>
            </w:tcMar>
          </w:tcPr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Председатель Общественного совета при Департаменте энергетики и регулирования тарифов Ярославской области, член Общественного совета при Федеральной службы по тарифам Российской Федерации </w:t>
            </w:r>
          </w:p>
        </w:tc>
        <w:tc>
          <w:tcPr>
            <w:tcW w:type="dxa" w:w="466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3"/>
            </w:tcMar>
          </w:tcPr>
          <w:p>
            <w:pPr>
              <w:pStyle w:val="style3"/>
              <w:numPr>
                <w:ilvl w:val="2"/>
                <w:numId w:val="1"/>
              </w:numPr>
              <w:spacing w:after="120" w:before="240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2"/>
                <w:szCs w:val="22"/>
              </w:rPr>
              <w:t>Упадышев Анатолий Игоревич</w:t>
            </w:r>
          </w:p>
          <w:p>
            <w:pPr>
              <w:pStyle w:val="style166"/>
              <w:spacing w:after="120" w:before="0"/>
              <w:contextualSpacing w:val="false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166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ПОВЕСТКА ЗАСЕДАНИЯ:</w:t>
      </w:r>
    </w:p>
    <w:p>
      <w:pPr>
        <w:pStyle w:val="style166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1. Ход реализации Плана мероприятий («дорожной карты») «Повышение доступности энергетической инфраструктуры»,  утвержденного распоряжением Правительства Российской Федерации от 30 июня 2012 года №1144-р;</w:t>
      </w:r>
    </w:p>
    <w:p>
      <w:pPr>
        <w:pStyle w:val="style166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 Ограничение и прекращение энергоснабжения для неплательщиков; привлечение к административной ответственности энергоснабжающие компании за прекращение поставки ресурса в связи с наличием задолженности; ограничение и прекращение энергоснабжения потребителей жилищного фона (неплательщиков), какие способы возможны;</w:t>
      </w:r>
    </w:p>
    <w:p>
      <w:pPr>
        <w:pStyle w:val="style166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 Разное.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widowControl/>
        <w:numPr>
          <w:ilvl w:val="0"/>
          <w:numId w:val="2"/>
        </w:numPr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suppressAutoHyphens w:val="true"/>
        <w:spacing w:after="120" w:before="0" w:line="276" w:lineRule="auto"/>
        <w:ind w:hanging="360" w:left="1495" w:right="0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Ход реализации Плана мероприятий («дорожной карты») «Повышение доступности энергетической инфраструктуры»,  утвержденного распоряжением Правительства Российской Федерации от 30 июня 2012 года №1144-р;</w:t>
      </w:r>
    </w:p>
    <w:p>
      <w:pPr>
        <w:pStyle w:val="style166"/>
        <w:jc w:val="both"/>
        <w:rPr/>
      </w:pPr>
      <w:r>
        <w:rPr/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ЗАСЛУШАЛИ: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Доклад представителей ОАО «МРСК Центра» - «Ярэнерго»: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О мероприятиях проводимых филиалом «Ярэнерго» с целью достижения показателей доступности технологического присоединения в соответствии с приказом ОАО «Россети» от 30.12.2013г. №73;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Количество поступивших заявлений о техприсоединении с заявленной мощностью до 150 кВт;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Проблемные вопросы осуществления технологического присоединения:</w:t>
      </w:r>
    </w:p>
    <w:p>
      <w:pPr>
        <w:pStyle w:val="style166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bCs/>
        </w:rPr>
        <w:t xml:space="preserve"> </w:t>
      </w:r>
      <w:r>
        <w:rPr>
          <w:bCs/>
        </w:rPr>
        <w:t xml:space="preserve">3.1.  </w:t>
      </w:r>
      <w:r>
        <w:rPr>
          <w:rFonts w:ascii="Times New Roman" w:cs="Times New Roman" w:hAnsi="Times New Roman"/>
          <w:bCs/>
          <w:sz w:val="24"/>
          <w:szCs w:val="24"/>
        </w:rPr>
        <w:t>Взаимоотношения с 3-ми лицами по вопросам отвода земельных участков под проектирование и строительство линий электропередач: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-Требования собственниками от филиала за пользование земельными участками </w:t>
      </w:r>
      <w:r>
        <w:rPr>
          <w:rFonts w:ascii="Times New Roman" w:cs="Times New Roman" w:hAnsi="Times New Roman"/>
          <w:sz w:val="24"/>
          <w:szCs w:val="24"/>
        </w:rPr>
        <w:t>компенсаций,</w:t>
      </w:r>
      <w:r>
        <w:rPr>
          <w:rFonts w:ascii="Times New Roman" w:cs="Times New Roman" w:hAnsi="Times New Roman"/>
          <w:sz w:val="24"/>
          <w:szCs w:val="24"/>
        </w:rPr>
        <w:t xml:space="preserve"> во много раз превышающих муниципальные расценки.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Отказы в предоставлении коридоров для прохождения трасс ВЛ/КЛ по причинам нахождении данных земельных участков в федеральной и региональной            собственности.</w:t>
      </w:r>
    </w:p>
    <w:p>
      <w:pPr>
        <w:pStyle w:val="style166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Предложение филиала: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Направить от имени общественного совета обращение в адрес Департамента имущественных и земельных отношений, Департамента градостроительства и архитектуры Ярославской области о необходимости внесения дополнений и изменений в порядок изменения назначения земельных участков, выделения земельных участков под различные нужды (сначала коридоры, затем определение возможности).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3.2. Отсутствие долгосрочной синхронизации инвестиционной программы филиала и программы развития территорий Ярославской области, </w:t>
      </w:r>
      <w:r>
        <w:rPr>
          <w:rFonts w:ascii="Times New Roman" w:cs="Times New Roman" w:hAnsi="Times New Roman"/>
          <w:bCs/>
          <w:sz w:val="24"/>
          <w:szCs w:val="24"/>
        </w:rPr>
        <w:t>обуславливающее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низки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 показател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доступности электросетевой инфраструктуры, увеличенные сроки ТП для Заявителя на срок урегулирования взаимоотношений по оформлению </w:t>
      </w:r>
      <w:r>
        <w:rPr>
          <w:rFonts w:ascii="Times New Roman" w:cs="Times New Roman" w:hAnsi="Times New Roman"/>
          <w:sz w:val="24"/>
          <w:szCs w:val="24"/>
        </w:rPr>
        <w:t>земельных участков,</w:t>
      </w:r>
      <w:r>
        <w:rPr>
          <w:rFonts w:ascii="Times New Roman" w:cs="Times New Roman" w:hAnsi="Times New Roman"/>
          <w:sz w:val="24"/>
          <w:szCs w:val="24"/>
        </w:rPr>
        <w:t xml:space="preserve"> высокие выпадающие доходы сетевой организации для присоединения льготной группы Заявителей.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Предложени</w:t>
      </w:r>
      <w:r>
        <w:rPr>
          <w:rFonts w:ascii="Times New Roman" w:cs="Times New Roman" w:hAnsi="Times New Roman"/>
          <w:sz w:val="24"/>
          <w:szCs w:val="24"/>
        </w:rPr>
        <w:t>я: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Создание рабочей группы под руководством ДЭиРТ по ЯО с участием </w:t>
      </w:r>
      <w:r>
        <w:rPr>
          <w:rFonts w:ascii="Times New Roman" w:cs="Times New Roman" w:hAnsi="Times New Roman"/>
          <w:sz w:val="24"/>
          <w:szCs w:val="24"/>
        </w:rPr>
        <w:t>заинтересованных лиц</w:t>
      </w:r>
      <w:r>
        <w:rPr>
          <w:rFonts w:ascii="Times New Roman" w:cs="Times New Roman" w:hAnsi="Times New Roman"/>
          <w:sz w:val="24"/>
          <w:szCs w:val="24"/>
        </w:rPr>
        <w:t xml:space="preserve"> с целью формирования планов развития территорий совместно с формированием адресной инвестиционной программой филиала, утверждаемой Департаментом энергетики и регулирования тарифов, с ежегодной корректировкой. Формирование долгосрочной адресной инвестиционной программы развития филиала с учетом развития территорий.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3.3. Технологическое присоединение э/п устройств заявителей, земельные участки которых расположены на территории садоводческих товариществ (СТ), ранее уже осуществивших присоединение по договорам ТП с непосредственно садоводческим товариществом. Возникают проблемы по строительству сетей внутри СТ параллельно существующим сетям.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3.4. Заявки от потребителей ,намеренных изменить тариф на передачу э/энергии с НН на СН (присоединение непосредственно от РУ ТП/ПС), при этом построенные сети для присоединения данных э/п становятся не востребованными.</w:t>
      </w:r>
    </w:p>
    <w:p>
      <w:pPr>
        <w:pStyle w:val="style166"/>
        <w:jc w:val="both"/>
        <w:rPr/>
      </w:pPr>
      <w:r>
        <w:rPr/>
      </w:r>
    </w:p>
    <w:p>
      <w:pPr>
        <w:pStyle w:val="style166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Позиции и мнения членов Общественного совета по вопросам реализации «дорожной карты» «Повышение доступности энергетической инфраструктуры» в Ярославской области.</w:t>
      </w:r>
    </w:p>
    <w:p>
      <w:pPr>
        <w:pStyle w:val="style166"/>
        <w:jc w:val="both"/>
        <w:rPr/>
      </w:pPr>
      <w:r>
        <w:rPr/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РЕШИЛИ: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Учесть предложения и замечания членов Общественного совета по электроэнергетике.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Членам Общественного совета представить письменные замечания и предложения в адрес Ярославского УФАС России.</w:t>
      </w:r>
    </w:p>
    <w:p>
      <w:pPr>
        <w:pStyle w:val="style166"/>
        <w:shd w:fill="FFFFFF" w:val="clear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-приобщить к настоящему Протоколу письмо филиала ОАО «МРСК Центра»-«Ярэнерго» от 15.10.2014 г. № МРСК ЯР\16-2\5725 с докладом на заданную тематику.</w:t>
      </w:r>
    </w:p>
    <w:p>
      <w:pPr>
        <w:pStyle w:val="style166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Поддержать предложение филиала ОАО «МРСК Центра» - «Ярэнерго» о создании рабочей группы при Департаменте энергетики и регулирования тарифов Ярославской области с участием  </w:t>
      </w:r>
      <w:r>
        <w:rPr>
          <w:rFonts w:ascii="Times New Roman" w:cs="Times New Roman" w:hAnsi="Times New Roman"/>
          <w:color w:val="000000"/>
          <w:sz w:val="24"/>
          <w:szCs w:val="24"/>
        </w:rPr>
        <w:t>Департамента имущественных и земельных отношений Ярославской области, филиала ОАО «МРСК Центра» - «Ярэнерго», органов местного самоуправления с целью формирования планов развития территорий совместно с формированием адресной инвестиционной программой филиала, утверждаемой  в Департаменте энергетики и регулирования тарифов Ярославской области, с ежегодной корректировкой. Формирование долгосрочной адресной инвестиционной программы развития филиала с учетом развития территорий.</w:t>
      </w:r>
    </w:p>
    <w:p>
      <w:pPr>
        <w:pStyle w:val="style166"/>
        <w:spacing w:after="0" w:before="0"/>
        <w:ind w:firstLine="14" w:left="0" w:right="0"/>
        <w:contextualSpacing w:val="false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- по предложению филиала ОАО «МРСК Центра» - «Ярэнерго» направить от имени общественного совета обращение в адрес Департамента имущественных и земельных отношений, Департамента градостроительства и архитектуры Ярославской области о необходимости внесения дополнений и изменений в порядок изменения назначения земельных участков, выделение земельных участков под различные нужды.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spacing w:after="0" w:before="0" w:line="2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2. Ограничение и прекращение энергоснабжения для неплательщиков; привлечение к административной ответственности энергоснабжающие компании за прекращение поставки ресурса в связи с наличием задолженности; ограничение и прекращение энергоснабжения потребителей жилищного фона (неплательщиков), какие способы возможны</w:t>
      </w:r>
    </w:p>
    <w:p>
      <w:pPr>
        <w:pStyle w:val="style166"/>
        <w:spacing w:after="0" w:before="0" w:line="2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spacing w:after="0" w:before="0" w:line="2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ЗАСЛУШАЛИ: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Доклад представителей ОАО «МРСК Центра» - «Ярэнерго»: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Законом предусмотрена типовая процедура введения ограничения электроснабжения потребителей неплательщиков в рамках отношений энергоснабжающих, энергосбытовых организаций гарантирующих поставщиков и сетевых организаций: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Основные проблемные вопросы при введении ограничений электроснабжения:</w:t>
      </w:r>
    </w:p>
    <w:p>
      <w:pPr>
        <w:pStyle w:val="style166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Введение ограничения режима потребления электроэнергии потребителя, исполнение которого может привести к ограничению подачи электрической энергии другим потребителям, не имеющим задолженности по оплате электрической энергии (мощности), услуг по передаче электрической энергии и услуг. </w:t>
      </w:r>
    </w:p>
    <w:p>
      <w:pPr>
        <w:pStyle w:val="style166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Введение ограничения режима потребления электроэнергии в отношении потребителей (в том числе в отношении отдельных используемых ими объектов) может привести к экономическим, экологическим, социальным последствиям.</w:t>
      </w:r>
    </w:p>
    <w:p>
      <w:pPr>
        <w:pStyle w:val="style166"/>
        <w:numPr>
          <w:ilvl w:val="0"/>
          <w:numId w:val="3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Введение ограничений электроснабжения потребителей-граждан, дачных и садоводческих товариществ и партнерств при наличии индивидуальных договоров у ГП с каждым гражданином и инициированием расторжения договора  в целом по СНТ, ДНП.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Ответственность и обязательства потребителя (энергоснабжающих, энергосбытовых организаций/гарантирующих поставщиков в интересах потребителя) при введении ограничений.</w:t>
      </w:r>
    </w:p>
    <w:p>
      <w:pPr>
        <w:pStyle w:val="style166"/>
        <w:jc w:val="both"/>
        <w:rPr>
          <w:b/>
          <w:bCs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bCs/>
          <w:sz w:val="24"/>
          <w:szCs w:val="24"/>
        </w:rPr>
        <w:t>Предложения по упорядочиванию процедуры ограничений электроснабжения</w:t>
      </w:r>
      <w:r>
        <w:rPr>
          <w:b/>
          <w:bCs/>
          <w:u w:val="single"/>
        </w:rPr>
        <w:t>:</w:t>
      </w:r>
    </w:p>
    <w:p>
      <w:pPr>
        <w:pStyle w:val="style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мнению ОАО «МРСК Центра» - «Ярэнерго» допустимо привлечение к ответственности потребителя – владельца электросетевого (по факту монополист в рамках существующей схемы электроснабжения) оборудования к ответственности.</w:t>
      </w:r>
    </w:p>
    <w:p>
      <w:pPr>
        <w:pStyle w:val="style166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2. По мнению ОАО «МРСК Центра» - «Ярэнерго» допустимо привлечение к ответственности по фактам уклонения от оформления актов аварийной и технологической брони потребителей для которых она является обязательной, что в случае полного отключения (в соответствие с п.17 Правил) может привести к экономическим, экологическим, социальным последствиям и соответственно нарушает права и интересы 3-х лиц.</w:t>
      </w:r>
    </w:p>
    <w:p>
      <w:pPr>
        <w:pStyle w:val="style166"/>
        <w:shd w:fill="FFFFFF" w:val="clear"/>
        <w:jc w:val="both"/>
        <w:rPr>
          <w:rFonts w:ascii="Times New Roman" w:cs="Times New Roman" w:hAnsi="Times New Roman"/>
          <w:bCs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bCs/>
          <w:i w:val="false"/>
          <w:iCs w:val="false"/>
          <w:sz w:val="24"/>
          <w:szCs w:val="24"/>
        </w:rPr>
        <w:t>3. Направление со стороны УФАС материалов, подтверждающих факты и действия потребителей в целях собственного необоснованного обогащения в органы внутренних дел и прокуратуру.</w:t>
      </w:r>
    </w:p>
    <w:p>
      <w:pPr>
        <w:pStyle w:val="style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0" w:name="__DdeLink__160_714920458"/>
      <w:r>
        <w:rPr>
          <w:rFonts w:ascii="Times New Roman" w:hAnsi="Times New Roman"/>
          <w:sz w:val="24"/>
          <w:szCs w:val="24"/>
        </w:rPr>
        <w:t>По мнению ОАО «МРСК Центра» - «Ярэнерго» допустимо</w:t>
      </w:r>
      <w:bookmarkEnd w:id="0"/>
      <w:r>
        <w:rPr>
          <w:rFonts w:ascii="Times New Roman" w:hAnsi="Times New Roman"/>
          <w:sz w:val="24"/>
          <w:szCs w:val="24"/>
        </w:rPr>
        <w:t xml:space="preserve"> привлечение к ответственности ГП в случае расторжения договоров электроснабжения в одностороннем порядке.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Доклад представителей ОАО «Ярославская сбытовая компания»: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1. Ограничение электроснабжения потребителей, имеющих задолженность за поставленную электроэнергию – вынужденная мера, экономически невыгодная сбытовым компаниям, но применяемая в условиях неоплаты задолженности потребителями после  выполнения мероприятий по досудебному урегулированию (переговоры, направление претензий, заключение соглашений о реструктуризации задолженности).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2. Наличие группы потребителей, в отношении которых орган исполнительной власти субъекта РФ может предусмотреть особый порядок введения ограничения за неоплату потребленной электроэнергии (ст. 38 ФЗ «Об электроэнергетике» (35-ФЗ от 26.03.2014). В том числе, предусматривается особый порядок безусловного возмещения убытков субъектов электроэнергетики, в случае невведения ограничения электроснабжения таким потребителям.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3. Недостаточное внимание потребителей, имеющих электропринимающие устройства, в сети которых установлена аварийная бронь, к необходимости оформления актов аварийной брони. Последствия - усложнение определения очередности при оперативном возобновлении электроснабжения в случае аварий, а также отключение таких электроприемников, как в случае аварийных ситуаций, так и при введении ограничений электроснабжения за неоплату потребленной электроэнергии.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4. По мнению ОАО «ЯСК» допустимо использовать свое право на одностороннее расторжение договора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 xml:space="preserve"> электроснабжения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 (установлено п. 53 «Основных положений функционирования розничных рынков электроэнергии» постановление  Правительства РФ от 04.05.2012 №442) в условиях: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- неоднократного нарушения потребителем обязательств по оплате электроэнергии;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- отсутствия бюджетной или банковской гарантии оплаты задолженности;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- невведения ограничения электроснабжения в отношении такого потребителя сетевой организацией или иным собственником электросетевого хозяйства, к которому выполнено его технологическое присоединение.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Предложения:</w:t>
      </w:r>
    </w:p>
    <w:p>
      <w:pPr>
        <w:pStyle w:val="style166"/>
        <w:shd w:fill="FFFFFF" w:val="clear"/>
        <w:jc w:val="both"/>
        <w:rPr>
          <w:rFonts w:ascii="Times New Roman" w:cs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1. Поддерживается инициатива представителей ОАО «МРСК Центра» - «Ярэнерго» о привлечении 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>к ответственности по фактам уклонения от оформления актов аварийной и технологической брони потребителей, для которых она является обязательной.</w:t>
      </w:r>
    </w:p>
    <w:p>
      <w:pPr>
        <w:pStyle w:val="style166"/>
        <w:jc w:val="both"/>
        <w:rPr>
          <w:rFonts w:ascii="Times New Roman" w:cs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  <w:shd w:fill="FFFFFF" w:val="clear"/>
        </w:rPr>
        <w:t>2. Поддерживается инициатива представителей ОАО «МРСК Центра» - «Ярэнерго» о п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 xml:space="preserve">ривлечении к ответственности потребителя – владельца электросетевого  оборудования </w:t>
      </w:r>
      <w:bookmarkStart w:id="1" w:name="_GoBack"/>
      <w:bookmarkEnd w:id="1"/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>по фактам препятствия перетоку электроэнергии другим потребителям, не имеющим задолженности по оплате электрической энергии (мощности), услуг по передаче электрической энергии и услуг, не введение самоограничения.</w:t>
      </w:r>
    </w:p>
    <w:p>
      <w:pPr>
        <w:pStyle w:val="style166"/>
        <w:jc w:val="both"/>
        <w:rPr>
          <w:rFonts w:ascii="Times New Roman" w:cs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>3. Использование практики предоставления бюджетных гарантий по оплате потребленной электроэнергии потребителям, отнесенных органами исполнительной власти субъекта РФ к группе потребителей с особым порядком введения ограничения электроснабжения.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РЕШИЛИ: 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Представителям ОАО «МРСК Центра» - «Ярэнерго»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 совместно с ОАО «Ярославская сбытовая компания» подготовить в течение одной</w:t>
      </w:r>
      <w:r>
        <w:rPr>
          <w:rFonts w:ascii="Times New Roman" w:cs="Times New Roman" w:hAnsi="Times New Roman"/>
          <w:sz w:val="24"/>
          <w:szCs w:val="24"/>
        </w:rPr>
        <w:t xml:space="preserve"> недели и направить в адрес Ярославского УФАС России проект механизма решения этих вопросов;</w:t>
      </w:r>
    </w:p>
    <w:p>
      <w:pPr>
        <w:pStyle w:val="style16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приглашать на очередные заседания Общественного совета представителей УВД, СК.</w:t>
      </w:r>
    </w:p>
    <w:p>
      <w:pPr>
        <w:pStyle w:val="style166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spacing w:after="0" w:before="0" w:line="200" w:lineRule="atLeast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2. Разное</w:t>
      </w:r>
    </w:p>
    <w:p>
      <w:pPr>
        <w:pStyle w:val="style166"/>
        <w:spacing w:after="0" w:before="0" w:line="2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166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Рассмотреть на следующем заседании Совета вопросы: </w:t>
      </w:r>
      <w:r>
        <w:rPr>
          <w:rFonts w:ascii="Times New Roman" w:cs="Times New Roman" w:hAnsi="Times New Roman"/>
          <w:color w:val="000000"/>
          <w:sz w:val="24"/>
          <w:szCs w:val="24"/>
        </w:rPr>
        <w:t>1. Применение пунктов Постановления Правительства РФ №442 от 04.05.2012 г  «Основные положения функционирования розничных рынков электрической энергии»; 2. О начислении платы за потребление электрической энергии, потребленной на общедомовые нужды (ОДН).</w:t>
      </w:r>
    </w:p>
    <w:p>
      <w:pPr>
        <w:pStyle w:val="style16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Председатель                                                                                                             Ширков А.В.</w:t>
      </w:r>
    </w:p>
    <w:p>
      <w:pPr>
        <w:pStyle w:val="style166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Завьялов М.Ф.</w:t>
      </w:r>
    </w:p>
    <w:p>
      <w:pPr>
        <w:pStyle w:val="style166"/>
        <w:spacing w:after="12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Ответственный секретарь                                                                                            Безрук Е.С.</w:t>
      </w:r>
    </w:p>
    <w:sectPr>
      <w:type w:val="nextPage"/>
      <w:pgSz w:h="16838" w:w="11906"/>
      <w:pgMar w:bottom="851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sz w:val="22"/>
        <w:b w:val="false"/>
        <w:szCs w:val="28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  <w:rPr>
        <w:sz w:val="22"/>
        <w:b w:val="false"/>
      </w:r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95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1" w:type="paragraph">
    <w:name w:val="Заголовок 1"/>
    <w:basedOn w:val="style165"/>
    <w:next w:val="style1"/>
    <w:pPr/>
    <w:rPr>
      <w:b/>
      <w:bCs/>
      <w:sz w:val="32"/>
      <w:szCs w:val="32"/>
    </w:rPr>
  </w:style>
  <w:style w:styleId="style2" w:type="paragraph">
    <w:name w:val="Заголовок 2"/>
    <w:basedOn w:val="style165"/>
    <w:next w:val="style2"/>
    <w:pPr/>
    <w:rPr>
      <w:b/>
      <w:bCs/>
      <w:i/>
      <w:iCs/>
    </w:rPr>
  </w:style>
  <w:style w:styleId="style3" w:type="paragraph">
    <w:name w:val="Заголовок 3"/>
    <w:basedOn w:val="style165"/>
    <w:next w:val="style3"/>
    <w:pPr/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cs="Symbol" w:hAnsi="Symbol"/>
      <w:sz w:val="28"/>
      <w:szCs w:val="28"/>
    </w:rPr>
  </w:style>
  <w:style w:styleId="style17" w:type="character">
    <w:name w:val="WW8Num1z1"/>
    <w:next w:val="style17"/>
    <w:rPr>
      <w:rFonts w:ascii="Courier New" w:cs="Courier New" w:hAnsi="Courier New"/>
    </w:rPr>
  </w:style>
  <w:style w:styleId="style18" w:type="character">
    <w:name w:val="WW8Num1z2"/>
    <w:next w:val="style18"/>
    <w:rPr>
      <w:rFonts w:ascii="Wingdings" w:cs="Wingdings" w:hAnsi="Wingdings"/>
    </w:rPr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rFonts w:cs="Times New Roman"/>
    </w:rPr>
  </w:style>
  <w:style w:styleId="style26" w:type="character">
    <w:name w:val="WW8Num3z0"/>
    <w:next w:val="style26"/>
    <w:rPr>
      <w:rFonts w:ascii="Symbol" w:cs="Symbol" w:hAnsi="Symbol"/>
    </w:rPr>
  </w:style>
  <w:style w:styleId="style27" w:type="character">
    <w:name w:val="WW8Num4z0"/>
    <w:next w:val="style27"/>
    <w:rPr/>
  </w:style>
  <w:style w:styleId="style28" w:type="character">
    <w:name w:val="WW8Num5z0"/>
    <w:next w:val="style28"/>
    <w:rPr>
      <w:rFonts w:ascii="Times New Roman" w:cs="Times New Roman" w:hAnsi="Times New Roman"/>
      <w:sz w:val="28"/>
      <w:szCs w:val="28"/>
    </w:rPr>
  </w:style>
  <w:style w:styleId="style29" w:type="character">
    <w:name w:val="WW8Num2z1"/>
    <w:next w:val="style29"/>
    <w:rPr/>
  </w:style>
  <w:style w:styleId="style30" w:type="character">
    <w:name w:val="WW8Num2z2"/>
    <w:next w:val="style30"/>
    <w:rPr/>
  </w:style>
  <w:style w:styleId="style31" w:type="character">
    <w:name w:val="WW8Num2z3"/>
    <w:next w:val="style31"/>
    <w:rPr/>
  </w:style>
  <w:style w:styleId="style32" w:type="character">
    <w:name w:val="WW8Num2z4"/>
    <w:next w:val="style32"/>
    <w:rPr/>
  </w:style>
  <w:style w:styleId="style33" w:type="character">
    <w:name w:val="WW8Num2z5"/>
    <w:next w:val="style33"/>
    <w:rPr/>
  </w:style>
  <w:style w:styleId="style34" w:type="character">
    <w:name w:val="WW8Num2z6"/>
    <w:next w:val="style34"/>
    <w:rPr/>
  </w:style>
  <w:style w:styleId="style35" w:type="character">
    <w:name w:val="WW8Num2z7"/>
    <w:next w:val="style35"/>
    <w:rPr/>
  </w:style>
  <w:style w:styleId="style36" w:type="character">
    <w:name w:val="WW8Num2z8"/>
    <w:next w:val="style36"/>
    <w:rPr/>
  </w:style>
  <w:style w:styleId="style37" w:type="character">
    <w:name w:val="WW8Num3z1"/>
    <w:next w:val="style37"/>
    <w:rPr>
      <w:rFonts w:ascii="Courier New" w:cs="Courier New" w:hAnsi="Courier New"/>
    </w:rPr>
  </w:style>
  <w:style w:styleId="style38" w:type="character">
    <w:name w:val="WW8Num3z2"/>
    <w:next w:val="style38"/>
    <w:rPr>
      <w:rFonts w:ascii="Wingdings" w:cs="Wingdings" w:hAnsi="Wingdings"/>
    </w:rPr>
  </w:style>
  <w:style w:styleId="style39" w:type="character">
    <w:name w:val="WW8Num4z1"/>
    <w:next w:val="style39"/>
    <w:rPr/>
  </w:style>
  <w:style w:styleId="style40" w:type="character">
    <w:name w:val="WW8Num4z2"/>
    <w:next w:val="style40"/>
    <w:rPr/>
  </w:style>
  <w:style w:styleId="style41" w:type="character">
    <w:name w:val="WW8Num4z3"/>
    <w:next w:val="style41"/>
    <w:rPr/>
  </w:style>
  <w:style w:styleId="style42" w:type="character">
    <w:name w:val="WW8Num4z4"/>
    <w:next w:val="style42"/>
    <w:rPr/>
  </w:style>
  <w:style w:styleId="style43" w:type="character">
    <w:name w:val="WW8Num4z5"/>
    <w:next w:val="style43"/>
    <w:rPr/>
  </w:style>
  <w:style w:styleId="style44" w:type="character">
    <w:name w:val="WW8Num4z6"/>
    <w:next w:val="style44"/>
    <w:rPr/>
  </w:style>
  <w:style w:styleId="style45" w:type="character">
    <w:name w:val="WW8Num4z7"/>
    <w:next w:val="style45"/>
    <w:rPr/>
  </w:style>
  <w:style w:styleId="style46" w:type="character">
    <w:name w:val="WW8Num4z8"/>
    <w:next w:val="style46"/>
    <w:rPr/>
  </w:style>
  <w:style w:styleId="style47" w:type="character">
    <w:name w:val="WW8Num5z1"/>
    <w:next w:val="style47"/>
    <w:rPr/>
  </w:style>
  <w:style w:styleId="style48" w:type="character">
    <w:name w:val="WW8Num5z2"/>
    <w:next w:val="style48"/>
    <w:rPr/>
  </w:style>
  <w:style w:styleId="style49" w:type="character">
    <w:name w:val="WW8Num5z3"/>
    <w:next w:val="style49"/>
    <w:rPr/>
  </w:style>
  <w:style w:styleId="style50" w:type="character">
    <w:name w:val="WW8Num5z4"/>
    <w:next w:val="style50"/>
    <w:rPr/>
  </w:style>
  <w:style w:styleId="style51" w:type="character">
    <w:name w:val="WW8Num5z5"/>
    <w:next w:val="style51"/>
    <w:rPr/>
  </w:style>
  <w:style w:styleId="style52" w:type="character">
    <w:name w:val="WW8Num5z6"/>
    <w:next w:val="style52"/>
    <w:rPr/>
  </w:style>
  <w:style w:styleId="style53" w:type="character">
    <w:name w:val="WW8Num5z7"/>
    <w:next w:val="style53"/>
    <w:rPr/>
  </w:style>
  <w:style w:styleId="style54" w:type="character">
    <w:name w:val="WW8Num5z8"/>
    <w:next w:val="style54"/>
    <w:rPr/>
  </w:style>
  <w:style w:styleId="style55" w:type="character">
    <w:name w:val="WW8Num6z0"/>
    <w:next w:val="style55"/>
    <w:rPr>
      <w:rFonts w:ascii="Times New Roman" w:cs="Times New Roman" w:hAnsi="Times New Roman"/>
      <w:sz w:val="28"/>
      <w:szCs w:val="28"/>
    </w:rPr>
  </w:style>
  <w:style w:styleId="style56" w:type="character">
    <w:name w:val="WW8Num6z1"/>
    <w:next w:val="style56"/>
    <w:rPr/>
  </w:style>
  <w:style w:styleId="style57" w:type="character">
    <w:name w:val="WW8Num6z2"/>
    <w:next w:val="style57"/>
    <w:rPr/>
  </w:style>
  <w:style w:styleId="style58" w:type="character">
    <w:name w:val="WW8Num6z3"/>
    <w:next w:val="style58"/>
    <w:rPr/>
  </w:style>
  <w:style w:styleId="style59" w:type="character">
    <w:name w:val="WW8Num6z4"/>
    <w:next w:val="style59"/>
    <w:rPr/>
  </w:style>
  <w:style w:styleId="style60" w:type="character">
    <w:name w:val="WW8Num6z5"/>
    <w:next w:val="style60"/>
    <w:rPr/>
  </w:style>
  <w:style w:styleId="style61" w:type="character">
    <w:name w:val="WW8Num6z6"/>
    <w:next w:val="style61"/>
    <w:rPr/>
  </w:style>
  <w:style w:styleId="style62" w:type="character">
    <w:name w:val="WW8Num6z7"/>
    <w:next w:val="style62"/>
    <w:rPr/>
  </w:style>
  <w:style w:styleId="style63" w:type="character">
    <w:name w:val="WW8Num6z8"/>
    <w:next w:val="style63"/>
    <w:rPr/>
  </w:style>
  <w:style w:styleId="style64" w:type="character">
    <w:name w:val="WW8Num7z0"/>
    <w:next w:val="style64"/>
    <w:rPr/>
  </w:style>
  <w:style w:styleId="style65" w:type="character">
    <w:name w:val="WW8Num7z1"/>
    <w:next w:val="style65"/>
    <w:rPr/>
  </w:style>
  <w:style w:styleId="style66" w:type="character">
    <w:name w:val="WW8Num7z2"/>
    <w:next w:val="style66"/>
    <w:rPr/>
  </w:style>
  <w:style w:styleId="style67" w:type="character">
    <w:name w:val="WW8Num7z3"/>
    <w:next w:val="style67"/>
    <w:rPr/>
  </w:style>
  <w:style w:styleId="style68" w:type="character">
    <w:name w:val="WW8Num7z4"/>
    <w:next w:val="style68"/>
    <w:rPr/>
  </w:style>
  <w:style w:styleId="style69" w:type="character">
    <w:name w:val="WW8Num7z5"/>
    <w:next w:val="style69"/>
    <w:rPr/>
  </w:style>
  <w:style w:styleId="style70" w:type="character">
    <w:name w:val="WW8Num7z6"/>
    <w:next w:val="style70"/>
    <w:rPr/>
  </w:style>
  <w:style w:styleId="style71" w:type="character">
    <w:name w:val="WW8Num7z7"/>
    <w:next w:val="style71"/>
    <w:rPr/>
  </w:style>
  <w:style w:styleId="style72" w:type="character">
    <w:name w:val="WW8Num7z8"/>
    <w:next w:val="style72"/>
    <w:rPr/>
  </w:style>
  <w:style w:styleId="style73" w:type="character">
    <w:name w:val="WW8Num8z0"/>
    <w:next w:val="style73"/>
    <w:rPr>
      <w:rFonts w:ascii="Symbol" w:cs="Symbol" w:hAnsi="Symbol"/>
    </w:rPr>
  </w:style>
  <w:style w:styleId="style74" w:type="character">
    <w:name w:val="WW8Num8z1"/>
    <w:next w:val="style74"/>
    <w:rPr>
      <w:rFonts w:ascii="Courier New" w:cs="Courier New" w:hAnsi="Courier New"/>
    </w:rPr>
  </w:style>
  <w:style w:styleId="style75" w:type="character">
    <w:name w:val="WW8Num8z2"/>
    <w:next w:val="style75"/>
    <w:rPr>
      <w:rFonts w:ascii="Wingdings" w:cs="Wingdings" w:hAnsi="Wingdings"/>
    </w:rPr>
  </w:style>
  <w:style w:styleId="style76" w:type="character">
    <w:name w:val="WW8Num9z0"/>
    <w:next w:val="style76"/>
    <w:rPr>
      <w:rFonts w:ascii="Symbol" w:cs="Symbol" w:hAnsi="Symbol"/>
      <w:sz w:val="28"/>
      <w:szCs w:val="28"/>
    </w:rPr>
  </w:style>
  <w:style w:styleId="style77" w:type="character">
    <w:name w:val="WW8Num9z1"/>
    <w:next w:val="style77"/>
    <w:rPr>
      <w:rFonts w:ascii="Courier New" w:cs="Courier New" w:hAnsi="Courier New"/>
    </w:rPr>
  </w:style>
  <w:style w:styleId="style78" w:type="character">
    <w:name w:val="WW8Num9z2"/>
    <w:next w:val="style78"/>
    <w:rPr>
      <w:rFonts w:ascii="Wingdings" w:cs="Wingdings" w:hAnsi="Wingdings"/>
    </w:rPr>
  </w:style>
  <w:style w:styleId="style79" w:type="character">
    <w:name w:val="WW8Num10z0"/>
    <w:next w:val="style79"/>
    <w:rPr/>
  </w:style>
  <w:style w:styleId="style80" w:type="character">
    <w:name w:val="WW8Num10z1"/>
    <w:next w:val="style80"/>
    <w:rPr>
      <w:rFonts w:ascii="Courier New" w:cs="Courier New" w:hAnsi="Courier New"/>
    </w:rPr>
  </w:style>
  <w:style w:styleId="style81" w:type="character">
    <w:name w:val="WW8Num10z2"/>
    <w:next w:val="style81"/>
    <w:rPr>
      <w:rFonts w:ascii="Wingdings" w:cs="Wingdings" w:hAnsi="Wingdings"/>
    </w:rPr>
  </w:style>
  <w:style w:styleId="style82" w:type="character">
    <w:name w:val="WW8Num10z3"/>
    <w:next w:val="style82"/>
    <w:rPr>
      <w:rFonts w:ascii="Symbol" w:cs="Symbol" w:hAnsi="Symbol"/>
    </w:rPr>
  </w:style>
  <w:style w:styleId="style83" w:type="character">
    <w:name w:val="WW8Num11z0"/>
    <w:next w:val="style83"/>
    <w:rPr>
      <w:rFonts w:ascii="Symbol" w:cs="Symbol" w:hAnsi="Symbol"/>
      <w:sz w:val="28"/>
      <w:szCs w:val="28"/>
    </w:rPr>
  </w:style>
  <w:style w:styleId="style84" w:type="character">
    <w:name w:val="WW8Num11z1"/>
    <w:next w:val="style84"/>
    <w:rPr>
      <w:rFonts w:ascii="Courier New" w:cs="Courier New" w:hAnsi="Courier New"/>
    </w:rPr>
  </w:style>
  <w:style w:styleId="style85" w:type="character">
    <w:name w:val="WW8Num11z2"/>
    <w:next w:val="style85"/>
    <w:rPr>
      <w:rFonts w:ascii="Wingdings" w:cs="Wingdings" w:hAnsi="Wingdings"/>
    </w:rPr>
  </w:style>
  <w:style w:styleId="style86" w:type="character">
    <w:name w:val="WW8Num12z0"/>
    <w:next w:val="style86"/>
    <w:rPr>
      <w:rFonts w:ascii="Symbol" w:cs="Symbol" w:hAnsi="Symbol"/>
    </w:rPr>
  </w:style>
  <w:style w:styleId="style87" w:type="character">
    <w:name w:val="WW8Num12z1"/>
    <w:next w:val="style87"/>
    <w:rPr>
      <w:rFonts w:ascii="Courier New" w:cs="Courier New" w:hAnsi="Courier New"/>
    </w:rPr>
  </w:style>
  <w:style w:styleId="style88" w:type="character">
    <w:name w:val="WW8Num12z2"/>
    <w:next w:val="style88"/>
    <w:rPr>
      <w:rFonts w:ascii="Wingdings" w:cs="Wingdings" w:hAnsi="Wingdings"/>
    </w:rPr>
  </w:style>
  <w:style w:styleId="style89" w:type="character">
    <w:name w:val="WW8Num13z0"/>
    <w:next w:val="style89"/>
    <w:rPr/>
  </w:style>
  <w:style w:styleId="style90" w:type="character">
    <w:name w:val="WW8Num13z1"/>
    <w:next w:val="style90"/>
    <w:rPr/>
  </w:style>
  <w:style w:styleId="style91" w:type="character">
    <w:name w:val="WW8Num13z2"/>
    <w:next w:val="style91"/>
    <w:rPr/>
  </w:style>
  <w:style w:styleId="style92" w:type="character">
    <w:name w:val="WW8Num13z3"/>
    <w:next w:val="style92"/>
    <w:rPr/>
  </w:style>
  <w:style w:styleId="style93" w:type="character">
    <w:name w:val="WW8Num13z4"/>
    <w:next w:val="style93"/>
    <w:rPr/>
  </w:style>
  <w:style w:styleId="style94" w:type="character">
    <w:name w:val="WW8Num13z5"/>
    <w:next w:val="style94"/>
    <w:rPr/>
  </w:style>
  <w:style w:styleId="style95" w:type="character">
    <w:name w:val="WW8Num13z6"/>
    <w:next w:val="style95"/>
    <w:rPr/>
  </w:style>
  <w:style w:styleId="style96" w:type="character">
    <w:name w:val="WW8Num13z7"/>
    <w:next w:val="style96"/>
    <w:rPr/>
  </w:style>
  <w:style w:styleId="style97" w:type="character">
    <w:name w:val="WW8Num13z8"/>
    <w:next w:val="style97"/>
    <w:rPr/>
  </w:style>
  <w:style w:styleId="style98" w:type="character">
    <w:name w:val="WW8Num14z0"/>
    <w:next w:val="style98"/>
    <w:rPr/>
  </w:style>
  <w:style w:styleId="style99" w:type="character">
    <w:name w:val="WW8Num14z1"/>
    <w:next w:val="style99"/>
    <w:rPr/>
  </w:style>
  <w:style w:styleId="style100" w:type="character">
    <w:name w:val="WW8Num14z2"/>
    <w:next w:val="style100"/>
    <w:rPr/>
  </w:style>
  <w:style w:styleId="style101" w:type="character">
    <w:name w:val="WW8Num14z3"/>
    <w:next w:val="style101"/>
    <w:rPr/>
  </w:style>
  <w:style w:styleId="style102" w:type="character">
    <w:name w:val="WW8Num14z4"/>
    <w:next w:val="style102"/>
    <w:rPr/>
  </w:style>
  <w:style w:styleId="style103" w:type="character">
    <w:name w:val="WW8Num14z5"/>
    <w:next w:val="style103"/>
    <w:rPr/>
  </w:style>
  <w:style w:styleId="style104" w:type="character">
    <w:name w:val="WW8Num14z6"/>
    <w:next w:val="style104"/>
    <w:rPr/>
  </w:style>
  <w:style w:styleId="style105" w:type="character">
    <w:name w:val="WW8Num14z7"/>
    <w:next w:val="style105"/>
    <w:rPr/>
  </w:style>
  <w:style w:styleId="style106" w:type="character">
    <w:name w:val="WW8Num14z8"/>
    <w:next w:val="style106"/>
    <w:rPr/>
  </w:style>
  <w:style w:styleId="style107" w:type="character">
    <w:name w:val="WW8Num15z0"/>
    <w:next w:val="style107"/>
    <w:rPr/>
  </w:style>
  <w:style w:styleId="style108" w:type="character">
    <w:name w:val="WW8Num15z1"/>
    <w:next w:val="style108"/>
    <w:rPr/>
  </w:style>
  <w:style w:styleId="style109" w:type="character">
    <w:name w:val="WW8Num15z2"/>
    <w:next w:val="style109"/>
    <w:rPr/>
  </w:style>
  <w:style w:styleId="style110" w:type="character">
    <w:name w:val="WW8Num15z3"/>
    <w:next w:val="style110"/>
    <w:rPr/>
  </w:style>
  <w:style w:styleId="style111" w:type="character">
    <w:name w:val="WW8Num15z4"/>
    <w:next w:val="style111"/>
    <w:rPr/>
  </w:style>
  <w:style w:styleId="style112" w:type="character">
    <w:name w:val="WW8Num15z5"/>
    <w:next w:val="style112"/>
    <w:rPr/>
  </w:style>
  <w:style w:styleId="style113" w:type="character">
    <w:name w:val="WW8Num15z6"/>
    <w:next w:val="style113"/>
    <w:rPr/>
  </w:style>
  <w:style w:styleId="style114" w:type="character">
    <w:name w:val="WW8Num15z7"/>
    <w:next w:val="style114"/>
    <w:rPr/>
  </w:style>
  <w:style w:styleId="style115" w:type="character">
    <w:name w:val="WW8Num15z8"/>
    <w:next w:val="style115"/>
    <w:rPr/>
  </w:style>
  <w:style w:styleId="style116" w:type="character">
    <w:name w:val="WW8Num16z0"/>
    <w:next w:val="style116"/>
    <w:rPr/>
  </w:style>
  <w:style w:styleId="style117" w:type="character">
    <w:name w:val="WW8Num16z1"/>
    <w:next w:val="style117"/>
    <w:rPr/>
  </w:style>
  <w:style w:styleId="style118" w:type="character">
    <w:name w:val="WW8Num16z2"/>
    <w:next w:val="style118"/>
    <w:rPr/>
  </w:style>
  <w:style w:styleId="style119" w:type="character">
    <w:name w:val="WW8Num16z3"/>
    <w:next w:val="style119"/>
    <w:rPr/>
  </w:style>
  <w:style w:styleId="style120" w:type="character">
    <w:name w:val="WW8Num16z4"/>
    <w:next w:val="style120"/>
    <w:rPr/>
  </w:style>
  <w:style w:styleId="style121" w:type="character">
    <w:name w:val="WW8Num16z5"/>
    <w:next w:val="style121"/>
    <w:rPr/>
  </w:style>
  <w:style w:styleId="style122" w:type="character">
    <w:name w:val="WW8Num16z6"/>
    <w:next w:val="style122"/>
    <w:rPr/>
  </w:style>
  <w:style w:styleId="style123" w:type="character">
    <w:name w:val="WW8Num16z7"/>
    <w:next w:val="style123"/>
    <w:rPr/>
  </w:style>
  <w:style w:styleId="style124" w:type="character">
    <w:name w:val="WW8Num16z8"/>
    <w:next w:val="style124"/>
    <w:rPr/>
  </w:style>
  <w:style w:styleId="style125" w:type="character">
    <w:name w:val="WW8Num17z0"/>
    <w:next w:val="style125"/>
    <w:rPr/>
  </w:style>
  <w:style w:styleId="style126" w:type="character">
    <w:name w:val="WW8Num17z1"/>
    <w:next w:val="style126"/>
    <w:rPr/>
  </w:style>
  <w:style w:styleId="style127" w:type="character">
    <w:name w:val="WW8Num17z2"/>
    <w:next w:val="style127"/>
    <w:rPr/>
  </w:style>
  <w:style w:styleId="style128" w:type="character">
    <w:name w:val="WW8Num17z3"/>
    <w:next w:val="style128"/>
    <w:rPr/>
  </w:style>
  <w:style w:styleId="style129" w:type="character">
    <w:name w:val="WW8Num17z4"/>
    <w:next w:val="style129"/>
    <w:rPr/>
  </w:style>
  <w:style w:styleId="style130" w:type="character">
    <w:name w:val="WW8Num17z5"/>
    <w:next w:val="style130"/>
    <w:rPr/>
  </w:style>
  <w:style w:styleId="style131" w:type="character">
    <w:name w:val="WW8Num17z6"/>
    <w:next w:val="style131"/>
    <w:rPr/>
  </w:style>
  <w:style w:styleId="style132" w:type="character">
    <w:name w:val="WW8Num17z7"/>
    <w:next w:val="style132"/>
    <w:rPr/>
  </w:style>
  <w:style w:styleId="style133" w:type="character">
    <w:name w:val="WW8Num17z8"/>
    <w:next w:val="style133"/>
    <w:rPr/>
  </w:style>
  <w:style w:styleId="style134" w:type="character">
    <w:name w:val="WW8Num18z0"/>
    <w:next w:val="style134"/>
    <w:rPr>
      <w:rFonts w:ascii="Symbol" w:cs="Symbol" w:hAnsi="Symbol"/>
    </w:rPr>
  </w:style>
  <w:style w:styleId="style135" w:type="character">
    <w:name w:val="WW8Num18z1"/>
    <w:next w:val="style135"/>
    <w:rPr>
      <w:rFonts w:ascii="Courier New" w:cs="Courier New" w:hAnsi="Courier New"/>
    </w:rPr>
  </w:style>
  <w:style w:styleId="style136" w:type="character">
    <w:name w:val="WW8Num18z2"/>
    <w:next w:val="style136"/>
    <w:rPr>
      <w:rFonts w:ascii="Wingdings" w:cs="Wingdings" w:hAnsi="Wingdings"/>
    </w:rPr>
  </w:style>
  <w:style w:styleId="style137" w:type="character">
    <w:name w:val="Основной шрифт абзаца1"/>
    <w:next w:val="style137"/>
    <w:rPr/>
  </w:style>
  <w:style w:styleId="style138" w:type="character">
    <w:name w:val="Текст Знак"/>
    <w:basedOn w:val="style137"/>
    <w:next w:val="style138"/>
    <w:rPr>
      <w:rFonts w:ascii="Consolas" w:cs="Consolas" w:hAnsi="Consolas"/>
      <w:sz w:val="21"/>
      <w:szCs w:val="21"/>
    </w:rPr>
  </w:style>
  <w:style w:styleId="style139" w:type="character">
    <w:name w:val="Текст выноски Знак"/>
    <w:basedOn w:val="style137"/>
    <w:next w:val="style139"/>
    <w:rPr>
      <w:rFonts w:ascii="Tahoma" w:cs="Tahoma" w:eastAsia="Times New Roman" w:hAnsi="Tahoma"/>
      <w:sz w:val="16"/>
      <w:szCs w:val="16"/>
    </w:rPr>
  </w:style>
  <w:style w:styleId="style140" w:type="character">
    <w:name w:val="Выделение жирным"/>
    <w:next w:val="style140"/>
    <w:rPr>
      <w:b/>
      <w:bCs/>
    </w:rPr>
  </w:style>
  <w:style w:styleId="style141" w:type="character">
    <w:name w:val="Маркеры списка"/>
    <w:next w:val="style141"/>
    <w:rPr>
      <w:rFonts w:ascii="OpenSymbol" w:cs="OpenSymbol" w:eastAsia="OpenSymbol" w:hAnsi="OpenSymbol"/>
    </w:rPr>
  </w:style>
  <w:style w:styleId="style142" w:type="character">
    <w:name w:val="Интернет-ссылка"/>
    <w:next w:val="style142"/>
    <w:rPr>
      <w:color w:val="000080"/>
      <w:u w:val="single"/>
      <w:lang w:bidi="zxx-" w:eastAsia="zxx-" w:val="zxx-"/>
    </w:rPr>
  </w:style>
  <w:style w:styleId="style143" w:type="character">
    <w:name w:val="ListLabel 1"/>
    <w:next w:val="style143"/>
    <w:rPr>
      <w:rFonts w:cs="Symbol"/>
      <w:sz w:val="28"/>
      <w:szCs w:val="28"/>
    </w:rPr>
  </w:style>
  <w:style w:styleId="style144" w:type="character">
    <w:name w:val="ListLabel 2"/>
    <w:next w:val="style144"/>
    <w:rPr>
      <w:rFonts w:cs="Courier New"/>
    </w:rPr>
  </w:style>
  <w:style w:styleId="style145" w:type="character">
    <w:name w:val="ListLabel 3"/>
    <w:next w:val="style145"/>
    <w:rPr>
      <w:rFonts w:cs="Wingdings"/>
      <w:b w:val="false"/>
      <w:sz w:val="22"/>
    </w:rPr>
  </w:style>
  <w:style w:styleId="style146" w:type="character">
    <w:name w:val="ListLabel 4"/>
    <w:next w:val="style146"/>
    <w:rPr>
      <w:rFonts w:cs="Times New Roman"/>
    </w:rPr>
  </w:style>
  <w:style w:styleId="style147" w:type="character">
    <w:name w:val="ListLabel 5"/>
    <w:next w:val="style147"/>
    <w:rPr>
      <w:b w:val="false"/>
      <w:sz w:val="22"/>
      <w:szCs w:val="28"/>
    </w:rPr>
  </w:style>
  <w:style w:styleId="style148" w:type="character">
    <w:name w:val="ListLabel 6"/>
    <w:next w:val="style148"/>
    <w:rPr>
      <w:b w:val="false"/>
      <w:sz w:val="22"/>
    </w:rPr>
  </w:style>
  <w:style w:styleId="style149" w:type="character">
    <w:name w:val="ListLabel 7"/>
    <w:next w:val="style149"/>
    <w:rPr>
      <w:rFonts w:cs="Times New Roman"/>
    </w:rPr>
  </w:style>
  <w:style w:styleId="style150" w:type="character">
    <w:name w:val="ListLabel 8"/>
    <w:next w:val="style150"/>
    <w:rPr>
      <w:b w:val="false"/>
      <w:sz w:val="22"/>
      <w:szCs w:val="28"/>
    </w:rPr>
  </w:style>
  <w:style w:styleId="style151" w:type="character">
    <w:name w:val="ListLabel 9"/>
    <w:next w:val="style151"/>
    <w:rPr>
      <w:b w:val="false"/>
      <w:sz w:val="22"/>
    </w:rPr>
  </w:style>
  <w:style w:styleId="style152" w:type="character">
    <w:name w:val="ListLabel 10"/>
    <w:next w:val="style152"/>
    <w:rPr>
      <w:rFonts w:cs="Times New Roman"/>
    </w:rPr>
  </w:style>
  <w:style w:styleId="style153" w:type="character">
    <w:name w:val="ListLabel 11"/>
    <w:next w:val="style153"/>
    <w:rPr>
      <w:b w:val="false"/>
      <w:sz w:val="22"/>
      <w:szCs w:val="28"/>
    </w:rPr>
  </w:style>
  <w:style w:styleId="style154" w:type="character">
    <w:name w:val="ListLabel 12"/>
    <w:next w:val="style154"/>
    <w:rPr>
      <w:b w:val="false"/>
      <w:sz w:val="22"/>
    </w:rPr>
  </w:style>
  <w:style w:styleId="style155" w:type="character">
    <w:name w:val="ListLabel 13"/>
    <w:next w:val="style155"/>
    <w:rPr>
      <w:rFonts w:cs="Times New Roman"/>
    </w:rPr>
  </w:style>
  <w:style w:styleId="style156" w:type="character">
    <w:name w:val="ListLabel 14"/>
    <w:next w:val="style156"/>
    <w:rPr>
      <w:b w:val="false"/>
      <w:sz w:val="22"/>
      <w:szCs w:val="28"/>
    </w:rPr>
  </w:style>
  <w:style w:styleId="style157" w:type="character">
    <w:name w:val="ListLabel 15"/>
    <w:next w:val="style157"/>
    <w:rPr>
      <w:b w:val="false"/>
      <w:sz w:val="22"/>
    </w:rPr>
  </w:style>
  <w:style w:styleId="style158" w:type="character">
    <w:name w:val="ListLabel 16"/>
    <w:next w:val="style158"/>
    <w:rPr>
      <w:rFonts w:cs="Times New Roman"/>
    </w:rPr>
  </w:style>
  <w:style w:styleId="style159" w:type="character">
    <w:name w:val="ListLabel 17"/>
    <w:next w:val="style159"/>
    <w:rPr>
      <w:b w:val="false"/>
      <w:sz w:val="22"/>
      <w:szCs w:val="28"/>
    </w:rPr>
  </w:style>
  <w:style w:styleId="style160" w:type="character">
    <w:name w:val="ListLabel 18"/>
    <w:next w:val="style160"/>
    <w:rPr>
      <w:b w:val="false"/>
      <w:sz w:val="22"/>
    </w:rPr>
  </w:style>
  <w:style w:styleId="style161" w:type="character">
    <w:name w:val="ListLabel 19"/>
    <w:next w:val="style161"/>
    <w:rPr>
      <w:b w:val="false"/>
      <w:sz w:val="22"/>
      <w:szCs w:val="28"/>
    </w:rPr>
  </w:style>
  <w:style w:styleId="style162" w:type="character">
    <w:name w:val="ListLabel 20"/>
    <w:next w:val="style162"/>
    <w:rPr>
      <w:b w:val="false"/>
      <w:sz w:val="22"/>
    </w:rPr>
  </w:style>
  <w:style w:styleId="style163" w:type="character">
    <w:name w:val="ListLabel 21"/>
    <w:next w:val="style163"/>
    <w:rPr>
      <w:b w:val="false"/>
      <w:sz w:val="22"/>
      <w:szCs w:val="28"/>
    </w:rPr>
  </w:style>
  <w:style w:styleId="style164" w:type="character">
    <w:name w:val="ListLabel 22"/>
    <w:next w:val="style164"/>
    <w:rPr>
      <w:b w:val="false"/>
      <w:sz w:val="22"/>
    </w:rPr>
  </w:style>
  <w:style w:styleId="style165" w:type="paragraph">
    <w:name w:val="Заголовок"/>
    <w:basedOn w:val="style0"/>
    <w:next w:val="style16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6" w:type="paragraph">
    <w:name w:val="Основной текст"/>
    <w:basedOn w:val="style0"/>
    <w:next w:val="style166"/>
    <w:pPr>
      <w:spacing w:after="120" w:before="0"/>
      <w:contextualSpacing w:val="false"/>
    </w:pPr>
    <w:rPr/>
  </w:style>
  <w:style w:styleId="style167" w:type="paragraph">
    <w:name w:val="Список"/>
    <w:basedOn w:val="style166"/>
    <w:next w:val="style167"/>
    <w:pPr/>
    <w:rPr>
      <w:rFonts w:cs="Mangal"/>
    </w:rPr>
  </w:style>
  <w:style w:styleId="style168" w:type="paragraph">
    <w:name w:val="Название"/>
    <w:basedOn w:val="style0"/>
    <w:next w:val="style16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9" w:type="paragraph">
    <w:name w:val="Указатель"/>
    <w:basedOn w:val="style0"/>
    <w:next w:val="style169"/>
    <w:pPr>
      <w:suppressLineNumbers/>
    </w:pPr>
    <w:rPr>
      <w:rFonts w:cs="Mangal"/>
    </w:rPr>
  </w:style>
  <w:style w:styleId="style170" w:type="paragraph">
    <w:name w:val="Заглавие"/>
    <w:basedOn w:val="style165"/>
    <w:next w:val="style170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36"/>
      <w:szCs w:val="36"/>
    </w:rPr>
  </w:style>
  <w:style w:styleId="style171" w:type="paragraph">
    <w:name w:val="index heading"/>
    <w:basedOn w:val="style0"/>
    <w:next w:val="style171"/>
    <w:pPr>
      <w:suppressLineNumbers/>
    </w:pPr>
    <w:rPr>
      <w:rFonts w:cs="Mangal"/>
    </w:rPr>
  </w:style>
  <w:style w:styleId="style172" w:type="paragraph">
    <w:name w:val="caption"/>
    <w:basedOn w:val="style0"/>
    <w:next w:val="style17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73" w:type="paragraph">
    <w:name w:val="Указатель1"/>
    <w:basedOn w:val="style0"/>
    <w:next w:val="style173"/>
    <w:pPr>
      <w:suppressLineNumbers/>
    </w:pPr>
    <w:rPr>
      <w:rFonts w:cs="Mangal"/>
    </w:rPr>
  </w:style>
  <w:style w:styleId="style174" w:type="paragraph">
    <w:name w:val="List Paragraph"/>
    <w:basedOn w:val="style0"/>
    <w:next w:val="style174"/>
    <w:pPr>
      <w:spacing w:after="200" w:before="0"/>
      <w:ind w:hanging="0" w:left="720" w:right="0"/>
      <w:contextualSpacing/>
    </w:pPr>
    <w:rPr/>
  </w:style>
  <w:style w:styleId="style175" w:type="paragraph">
    <w:name w:val="Текст1"/>
    <w:basedOn w:val="style0"/>
    <w:next w:val="style175"/>
    <w:pPr>
      <w:spacing w:after="0" w:before="0" w:line="100" w:lineRule="atLeast"/>
      <w:contextualSpacing w:val="false"/>
    </w:pPr>
    <w:rPr>
      <w:rFonts w:ascii="Consolas" w:cs="Times New Roman" w:eastAsia="Calibri" w:hAnsi="Consolas"/>
      <w:sz w:val="21"/>
      <w:szCs w:val="21"/>
    </w:rPr>
  </w:style>
  <w:style w:styleId="style176" w:type="paragraph">
    <w:name w:val="Balloon Text"/>
    <w:basedOn w:val="style0"/>
    <w:next w:val="style17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177" w:type="paragraph">
    <w:name w:val="Цитата1"/>
    <w:basedOn w:val="style0"/>
    <w:next w:val="style177"/>
    <w:pPr>
      <w:spacing w:after="283" w:before="0"/>
      <w:ind w:hanging="0" w:left="567" w:right="567"/>
      <w:contextualSpacing w:val="false"/>
    </w:pPr>
    <w:rPr/>
  </w:style>
  <w:style w:styleId="style178" w:type="paragraph">
    <w:name w:val="Подзаголовок"/>
    <w:basedOn w:val="style165"/>
    <w:next w:val="style178"/>
    <w:pPr>
      <w:jc w:val="center"/>
    </w:pPr>
    <w:rPr>
      <w:i/>
      <w:iCs/>
    </w:rPr>
  </w:style>
  <w:style w:styleId="style179" w:type="paragraph">
    <w:name w:val="Содержимое таблицы"/>
    <w:basedOn w:val="style0"/>
    <w:next w:val="style179"/>
    <w:pPr>
      <w:suppressLineNumbers/>
    </w:pPr>
    <w:rPr/>
  </w:style>
  <w:style w:styleId="style180" w:type="paragraph">
    <w:name w:val="Заголовок таблицы"/>
    <w:basedOn w:val="style179"/>
    <w:next w:val="style180"/>
    <w:pPr>
      <w:jc w:val="center"/>
    </w:pPr>
    <w:rPr>
      <w:b/>
      <w:bCs/>
    </w:rPr>
  </w:style>
  <w:style w:styleId="style181" w:type="paragraph">
    <w:name w:val="Normal (Web)"/>
    <w:basedOn w:val="style0"/>
    <w:next w:val="style181"/>
    <w:pPr>
      <w:suppressAutoHyphens w:val="false"/>
      <w:spacing w:after="280" w:before="280" w:line="100" w:lineRule="atLeast"/>
      <w:contextualSpacing w:val="false"/>
    </w:pPr>
    <w:rPr>
      <w:rFonts w:ascii="Times New Roman" w:cs="Times New Roman" w:hAnsi="Times New Roman"/>
      <w:sz w:val="24"/>
      <w:szCs w:val="24"/>
      <w:lang w:eastAsia="ru-RU"/>
    </w:rPr>
  </w:style>
  <w:style w:styleId="style182" w:type="paragraph">
    <w:name w:val="Цитата"/>
    <w:basedOn w:val="style0"/>
    <w:next w:val="style18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2014-10-21T20:59:00Z</dcterms:created>
  <dc:creator>User</dc:creator>
  <cp:lastModifiedBy>UserYSK</cp:lastModifiedBy>
  <cp:lastPrinted>2014-10-27T11:34:53Z</cp:lastPrinted>
  <dcterms:modified xsi:type="dcterms:W3CDTF">2014-10-24T04:58:00Z</dcterms:modified>
  <cp:revision>16</cp:revision>
</cp:coreProperties>
</file>