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3969" w:right="0"/>
        <w:contextualSpacing w:val="false"/>
      </w:pPr>
      <w:r>
        <w:rPr>
          <w:rFonts w:ascii="Times New Roman" w:cs="Times New Roman" w:hAnsi="Times New Roman"/>
          <w:sz w:val="26"/>
          <w:szCs w:val="26"/>
        </w:rPr>
        <w:t>ГБУЗ ЯО "Областная клиническая туберкулезная больница"</w:t>
      </w:r>
    </w:p>
    <w:p>
      <w:pPr>
        <w:pStyle w:val="style0"/>
        <w:spacing w:after="0" w:before="0" w:line="100" w:lineRule="atLeast"/>
        <w:ind w:hanging="0" w:left="3969" w:right="0"/>
        <w:contextualSpacing w:val="false"/>
        <w:jc w:val="both"/>
      </w:pPr>
      <w:r>
        <w:rPr>
          <w:rFonts w:ascii="Times New Roman" w:cs="Times New Roman" w:hAnsi="Times New Roman"/>
          <w:sz w:val="26"/>
          <w:szCs w:val="26"/>
        </w:rPr>
        <w:t xml:space="preserve">150000, Ярославская обл, г.Ярославль, </w:t>
      </w:r>
    </w:p>
    <w:p>
      <w:pPr>
        <w:pStyle w:val="style0"/>
        <w:spacing w:after="0" w:before="0" w:line="100" w:lineRule="atLeast"/>
        <w:ind w:hanging="0" w:left="3969" w:right="0"/>
        <w:contextualSpacing w:val="false"/>
        <w:jc w:val="both"/>
      </w:pPr>
      <w:r>
        <w:rPr>
          <w:rFonts w:ascii="Times New Roman" w:cs="Times New Roman" w:hAnsi="Times New Roman"/>
          <w:sz w:val="26"/>
          <w:szCs w:val="26"/>
        </w:rPr>
        <w:t>ул. Собинова, 43</w:t>
      </w:r>
    </w:p>
    <w:p>
      <w:pPr>
        <w:pStyle w:val="style0"/>
        <w:spacing w:after="0" w:before="0" w:line="100" w:lineRule="atLeast"/>
        <w:ind w:hanging="0" w:left="3969" w:right="0"/>
        <w:contextualSpacing w:val="false"/>
        <w:jc w:val="both"/>
      </w:pPr>
      <w:r>
        <w:rPr>
          <w:rFonts w:ascii="Times New Roman" w:cs="Times New Roman" w:hAnsi="Times New Roman"/>
          <w:sz w:val="26"/>
          <w:szCs w:val="26"/>
        </w:rPr>
      </w:r>
    </w:p>
    <w:p>
      <w:pPr>
        <w:pStyle w:val="style0"/>
        <w:spacing w:after="0" w:before="0" w:line="100" w:lineRule="atLeast"/>
        <w:ind w:hanging="0" w:left="3969" w:right="0"/>
        <w:contextualSpacing w:val="false"/>
        <w:jc w:val="both"/>
      </w:pPr>
      <w:r>
        <w:rPr>
          <w:rFonts w:ascii="Times New Roman" w:cs="Times New Roman" w:hAnsi="Times New Roman"/>
          <w:sz w:val="26"/>
          <w:szCs w:val="26"/>
        </w:rPr>
        <w:t>ИП Овсяников А.П.</w:t>
      </w:r>
    </w:p>
    <w:p>
      <w:pPr>
        <w:pStyle w:val="style0"/>
        <w:spacing w:after="0" w:before="0" w:line="100" w:lineRule="atLeast"/>
        <w:ind w:hanging="0" w:left="3969" w:right="0"/>
        <w:contextualSpacing w:val="false"/>
        <w:jc w:val="both"/>
      </w:pPr>
      <w:r>
        <w:rPr>
          <w:rFonts w:ascii="Times New Roman" w:cs="Times New Roman" w:hAnsi="Times New Roman"/>
          <w:sz w:val="26"/>
          <w:szCs w:val="26"/>
        </w:rPr>
        <w:t>150000, г.Ярославль, ул.Трефолева, 12б</w:t>
      </w:r>
    </w:p>
    <w:p>
      <w:pPr>
        <w:pStyle w:val="style0"/>
        <w:spacing w:after="0" w:before="0" w:line="100" w:lineRule="atLeast"/>
        <w:ind w:hanging="0" w:left="3969" w:right="0"/>
        <w:contextualSpacing w:val="false"/>
        <w:jc w:val="both"/>
      </w:pPr>
      <w:r>
        <w:rPr>
          <w:rFonts w:ascii="Times New Roman" w:cs="Times New Roman" w:hAnsi="Times New Roman"/>
          <w:sz w:val="26"/>
          <w:szCs w:val="26"/>
        </w:rPr>
      </w:r>
    </w:p>
    <w:p>
      <w:pPr>
        <w:pStyle w:val="style0"/>
        <w:spacing w:after="0" w:before="0" w:line="100" w:lineRule="atLeast"/>
        <w:contextualSpacing w:val="false"/>
        <w:jc w:val="center"/>
      </w:pPr>
      <w:r>
        <w:rPr>
          <w:rFonts w:ascii="Times New Roman" w:cs="Times New Roman" w:hAnsi="Times New Roman"/>
          <w:sz w:val="26"/>
          <w:szCs w:val="26"/>
        </w:rPr>
      </w:r>
    </w:p>
    <w:p>
      <w:pPr>
        <w:pStyle w:val="style0"/>
        <w:spacing w:after="0" w:before="0" w:line="100" w:lineRule="atLeast"/>
        <w:contextualSpacing w:val="false"/>
        <w:jc w:val="center"/>
      </w:pPr>
      <w:r>
        <w:rPr>
          <w:rFonts w:ascii="Times New Roman" w:cs="Times New Roman" w:hAnsi="Times New Roman"/>
          <w:sz w:val="26"/>
          <w:szCs w:val="26"/>
        </w:rPr>
      </w:r>
    </w:p>
    <w:p>
      <w:pPr>
        <w:pStyle w:val="style0"/>
        <w:spacing w:after="0" w:before="0" w:line="100" w:lineRule="atLeast"/>
        <w:contextualSpacing w:val="false"/>
        <w:jc w:val="center"/>
      </w:pPr>
      <w:r>
        <w:rPr>
          <w:rFonts w:ascii="Times New Roman" w:cs="Times New Roman" w:hAnsi="Times New Roman"/>
          <w:sz w:val="26"/>
          <w:szCs w:val="26"/>
        </w:rPr>
      </w:r>
    </w:p>
    <w:p>
      <w:pPr>
        <w:pStyle w:val="style0"/>
        <w:spacing w:after="0" w:before="0" w:line="100" w:lineRule="atLeast"/>
        <w:contextualSpacing w:val="false"/>
      </w:pPr>
      <w:r>
        <w:rPr>
          <w:rFonts w:ascii="Times New Roman" w:cs="Times New Roman" w:hAnsi="Times New Roman"/>
          <w:sz w:val="26"/>
          <w:szCs w:val="26"/>
        </w:rPr>
      </w:r>
    </w:p>
    <w:p>
      <w:pPr>
        <w:pStyle w:val="style0"/>
        <w:spacing w:after="0" w:before="0" w:line="100" w:lineRule="atLeast"/>
        <w:contextualSpacing w:val="false"/>
        <w:jc w:val="center"/>
      </w:pPr>
      <w:r>
        <w:rPr>
          <w:rFonts w:ascii="Times New Roman" w:cs="Times New Roman" w:hAnsi="Times New Roman"/>
          <w:sz w:val="26"/>
          <w:szCs w:val="26"/>
        </w:rPr>
      </w:r>
    </w:p>
    <w:p>
      <w:pPr>
        <w:pStyle w:val="style0"/>
        <w:spacing w:after="0" w:before="0" w:line="100" w:lineRule="atLeast"/>
        <w:contextualSpacing w:val="false"/>
        <w:jc w:val="center"/>
      </w:pPr>
      <w:r>
        <w:rPr>
          <w:rFonts w:ascii="Times New Roman" w:cs="Times New Roman" w:hAnsi="Times New Roman"/>
          <w:sz w:val="26"/>
          <w:szCs w:val="26"/>
        </w:rPr>
      </w:r>
    </w:p>
    <w:p>
      <w:pPr>
        <w:pStyle w:val="style0"/>
        <w:spacing w:after="0" w:before="0" w:line="100" w:lineRule="atLeast"/>
        <w:contextualSpacing w:val="false"/>
        <w:jc w:val="center"/>
      </w:pPr>
      <w:r>
        <w:rPr>
          <w:rFonts w:ascii="Times New Roman" w:cs="Times New Roman" w:hAnsi="Times New Roman"/>
          <w:sz w:val="26"/>
          <w:szCs w:val="26"/>
        </w:rPr>
      </w:r>
    </w:p>
    <w:p>
      <w:pPr>
        <w:pStyle w:val="style0"/>
        <w:spacing w:after="0" w:before="0" w:line="100" w:lineRule="atLeast"/>
        <w:contextualSpacing w:val="false"/>
        <w:jc w:val="center"/>
      </w:pPr>
      <w:r>
        <w:rPr>
          <w:rFonts w:ascii="Times New Roman" w:cs="Times New Roman" w:hAnsi="Times New Roman"/>
          <w:sz w:val="26"/>
          <w:szCs w:val="26"/>
        </w:rPr>
        <w:t>РЕШЕНИЕ</w:t>
      </w:r>
    </w:p>
    <w:p>
      <w:pPr>
        <w:pStyle w:val="style0"/>
        <w:spacing w:after="0" w:before="0" w:line="100" w:lineRule="atLeast"/>
        <w:contextualSpacing w:val="false"/>
        <w:jc w:val="center"/>
      </w:pPr>
      <w:r>
        <w:rPr>
          <w:rFonts w:ascii="Times New Roman" w:cs="Times New Roman" w:hAnsi="Times New Roman"/>
          <w:sz w:val="26"/>
          <w:szCs w:val="26"/>
        </w:rPr>
        <w:t>по делу о нарушении законодательства о размещении заказов</w:t>
      </w:r>
    </w:p>
    <w:p>
      <w:pPr>
        <w:pStyle w:val="style0"/>
        <w:spacing w:after="0" w:before="0" w:line="100" w:lineRule="atLeast"/>
        <w:contextualSpacing w:val="false"/>
        <w:jc w:val="center"/>
      </w:pPr>
      <w:bookmarkStart w:id="0" w:name="__DdeLink__174_1701363028"/>
      <w:r>
        <w:rPr>
          <w:rFonts w:ascii="Times New Roman" w:cs="Times New Roman" w:hAnsi="Times New Roman"/>
          <w:sz w:val="26"/>
          <w:szCs w:val="26"/>
        </w:rPr>
        <w:t xml:space="preserve">№ </w:t>
      </w:r>
      <w:bookmarkEnd w:id="0"/>
      <w:r>
        <w:rPr>
          <w:rFonts w:ascii="Times New Roman" w:cs="Times New Roman" w:hAnsi="Times New Roman"/>
          <w:sz w:val="26"/>
          <w:szCs w:val="26"/>
        </w:rPr>
        <w:t>05-02/142Ж-13</w:t>
      </w:r>
    </w:p>
    <w:p>
      <w:pPr>
        <w:pStyle w:val="style0"/>
        <w:spacing w:after="0" w:before="0" w:line="100" w:lineRule="atLeast"/>
        <w:contextualSpacing w:val="false"/>
        <w:jc w:val="center"/>
      </w:pPr>
      <w:r>
        <w:rPr>
          <w:rFonts w:ascii="Times New Roman" w:cs="Times New Roman" w:hAnsi="Times New Roman"/>
          <w:sz w:val="26"/>
          <w:szCs w:val="26"/>
        </w:rPr>
      </w:r>
    </w:p>
    <w:p>
      <w:pPr>
        <w:pStyle w:val="style0"/>
        <w:spacing w:after="0" w:before="0" w:line="100" w:lineRule="atLeast"/>
        <w:contextualSpacing w:val="false"/>
        <w:jc w:val="both"/>
      </w:pPr>
      <w:r>
        <w:rPr>
          <w:rFonts w:ascii="Times New Roman" w:cs="Times New Roman" w:hAnsi="Times New Roman"/>
          <w:sz w:val="26"/>
          <w:szCs w:val="26"/>
        </w:rPr>
      </w:r>
    </w:p>
    <w:p>
      <w:pPr>
        <w:pStyle w:val="style0"/>
        <w:spacing w:after="0" w:before="0" w:line="100" w:lineRule="atLeast"/>
        <w:contextualSpacing w:val="false"/>
        <w:jc w:val="both"/>
      </w:pPr>
      <w:r>
        <w:rPr>
          <w:rFonts w:ascii="Times New Roman" w:cs="Times New Roman" w:hAnsi="Times New Roman"/>
          <w:sz w:val="26"/>
          <w:szCs w:val="26"/>
        </w:rPr>
        <w:t>Резолютивная часть решения объявлена 26 июня 2013 года</w:t>
      </w:r>
    </w:p>
    <w:p>
      <w:pPr>
        <w:pStyle w:val="style0"/>
        <w:spacing w:after="0" w:before="0" w:line="100" w:lineRule="atLeast"/>
        <w:contextualSpacing w:val="false"/>
        <w:jc w:val="both"/>
      </w:pPr>
      <w:r>
        <w:rPr>
          <w:rFonts w:ascii="Times New Roman" w:cs="Times New Roman" w:hAnsi="Times New Roman"/>
          <w:sz w:val="26"/>
          <w:szCs w:val="26"/>
        </w:rPr>
        <w:t>Решение изготовлено в полном объеме 27 июня 2013 года                      г. Ярославль</w:t>
      </w:r>
    </w:p>
    <w:p>
      <w:pPr>
        <w:pStyle w:val="style0"/>
        <w:spacing w:after="0" w:before="0" w:line="100" w:lineRule="atLeast"/>
        <w:contextualSpacing w:val="false"/>
        <w:jc w:val="both"/>
      </w:pPr>
      <w:r>
        <w:rPr>
          <w:rFonts w:ascii="Times New Roman" w:cs="Times New Roman" w:hAnsi="Times New Roman"/>
          <w:sz w:val="26"/>
          <w:szCs w:val="26"/>
        </w:rPr>
      </w:r>
    </w:p>
    <w:p>
      <w:pPr>
        <w:pStyle w:val="style0"/>
        <w:spacing w:after="0" w:before="0" w:line="100" w:lineRule="atLeast"/>
        <w:ind w:firstLine="708" w:left="0" w:right="0"/>
        <w:contextualSpacing w:val="false"/>
        <w:jc w:val="both"/>
      </w:pPr>
      <w:r>
        <w:rPr>
          <w:rFonts w:ascii="Times New Roman" w:cs="Times New Roman" w:hAnsi="Times New Roman"/>
          <w:sz w:val="26"/>
          <w:szCs w:val="26"/>
        </w:rPr>
        <w:t>Комиссия Управления Федеральной антимонопольной службы по Ярославской области по контролю в сфере размещения заказов (далее – Комиссия) в составе: председатель Комиссии – заместитель руководителя управления Паутов И.Г., члены Комиссии – ведущий специалист-эксперт отдела контроля размещения государственного заказа Смирнова Н.В., государственный инспектор отдела контроля размещения государственного заказа Запольская Т.И.,</w:t>
      </w:r>
    </w:p>
    <w:p>
      <w:pPr>
        <w:pStyle w:val="style0"/>
        <w:spacing w:after="0" w:before="0" w:line="100" w:lineRule="atLeast"/>
        <w:ind w:firstLine="708" w:left="0" w:right="0"/>
        <w:contextualSpacing w:val="false"/>
        <w:jc w:val="both"/>
      </w:pPr>
      <w:r>
        <w:rPr>
          <w:rFonts w:ascii="Times New Roman" w:cs="Times New Roman" w:hAnsi="Times New Roman"/>
          <w:sz w:val="26"/>
          <w:szCs w:val="26"/>
        </w:rPr>
        <w:t>с участием:</w:t>
      </w:r>
    </w:p>
    <w:p>
      <w:pPr>
        <w:pStyle w:val="style0"/>
        <w:ind w:firstLine="708" w:left="0" w:right="0"/>
      </w:pPr>
      <w:r>
        <w:rPr>
          <w:rFonts w:ascii="Times New Roman" w:cs="Times New Roman" w:hAnsi="Times New Roman"/>
          <w:sz w:val="26"/>
          <w:szCs w:val="26"/>
        </w:rPr>
        <w:t>от заявителя – ИП Овсяников А.П. (далее также - Заявитель) — извещенный о дате и времени рассмотрения дела, на рассмотрение жалобы представителя не направил;</w:t>
      </w:r>
    </w:p>
    <w:p>
      <w:pPr>
        <w:pStyle w:val="style0"/>
        <w:ind w:firstLine="708" w:left="0" w:right="0"/>
      </w:pPr>
      <w:r>
        <w:rPr>
          <w:rFonts w:ascii="Times New Roman" w:cs="Times New Roman" w:hAnsi="Times New Roman"/>
          <w:sz w:val="26"/>
          <w:szCs w:val="26"/>
        </w:rPr>
        <w:t>от заказчика – ГБУЗ ЯО "Областная клиническая туберкулезная больница" (далее также - Заказчик) – директора  Виноградовой А.С., представитель по доверенности Сергеевой М.Д.;</w:t>
      </w:r>
    </w:p>
    <w:p>
      <w:pPr>
        <w:pStyle w:val="style0"/>
        <w:spacing w:after="0" w:before="0" w:line="100" w:lineRule="atLeast"/>
        <w:ind w:firstLine="708" w:left="0" w:right="0"/>
        <w:contextualSpacing w:val="false"/>
        <w:jc w:val="both"/>
      </w:pPr>
      <w:r>
        <w:rPr>
          <w:rFonts w:ascii="Times New Roman" w:cs="Times New Roman" w:hAnsi="Times New Roman"/>
          <w:sz w:val="26"/>
          <w:szCs w:val="26"/>
        </w:rPr>
        <w:t>рассмотрев жалобу  ИП Овсяникова А.П. на действия заказчика - ГБУЗ ЯО "Областная клиническая туберкулезная больница" - при проведении запроса котировок на право заключения контракта на оказание услуг по техническому обслуживанию медицинской техники  (извещение № 0371200002513000090) (далее также – запрос котировок) и в результате проведения внеплановой проверки в соответствии со статьей 17 Федерального закона от 21.07.2005 № 94-ФЗ «О размещении заказов на поставки товаров, выполнение работ, оказание услуг для государственных и муниципальных нужд» (далее также - Федеральный закон от 21.07.2005 № 94-ФЗ, Закон), Административным регламентом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года № 498,</w:t>
      </w:r>
    </w:p>
    <w:p>
      <w:pPr>
        <w:pStyle w:val="style0"/>
        <w:spacing w:after="0" w:before="0" w:line="100" w:lineRule="atLeast"/>
        <w:ind w:firstLine="708" w:left="0" w:right="0"/>
        <w:contextualSpacing w:val="false"/>
        <w:jc w:val="both"/>
      </w:pPr>
      <w:r>
        <w:rPr>
          <w:rFonts w:ascii="Times New Roman" w:cs="Times New Roman" w:hAnsi="Times New Roman"/>
          <w:sz w:val="26"/>
          <w:szCs w:val="26"/>
        </w:rPr>
        <w:t>установила:</w:t>
      </w:r>
    </w:p>
    <w:p>
      <w:pPr>
        <w:pStyle w:val="style0"/>
        <w:spacing w:after="0" w:before="0" w:line="100" w:lineRule="atLeast"/>
        <w:ind w:firstLine="708" w:left="0" w:right="0"/>
        <w:contextualSpacing w:val="false"/>
        <w:jc w:val="both"/>
      </w:pPr>
      <w:r>
        <w:rPr>
          <w:rFonts w:ascii="Times New Roman" w:cs="Times New Roman" w:hAnsi="Times New Roman"/>
          <w:sz w:val="26"/>
          <w:szCs w:val="26"/>
        </w:rPr>
        <w:t>ИП Овсяников А.П. обратился в Ярославское УФАС России с жалобой на действия заказчика - ГБУЗ ЯО "Областная клиническая туберкулезная больница" при проведении запроса котировок на право заключения контракта на оказание услуг по техническому обслуживанию медицинской техники  (извещение № 0371200002513000090).</w:t>
      </w:r>
    </w:p>
    <w:p>
      <w:pPr>
        <w:pStyle w:val="style0"/>
        <w:spacing w:after="0" w:before="0" w:line="100" w:lineRule="atLeast"/>
        <w:ind w:firstLine="708" w:left="0" w:right="0"/>
        <w:contextualSpacing w:val="false"/>
        <w:jc w:val="both"/>
      </w:pPr>
      <w:r>
        <w:rPr>
          <w:rFonts w:ascii="Times New Roman" w:cs="Times New Roman" w:hAnsi="Times New Roman"/>
          <w:sz w:val="26"/>
          <w:szCs w:val="26"/>
        </w:rPr>
        <w:t>ИП Овсяников А.П. в жалобе указывает на следующее:</w:t>
      </w:r>
    </w:p>
    <w:p>
      <w:pPr>
        <w:pStyle w:val="style0"/>
        <w:spacing w:after="0" w:before="0" w:line="100" w:lineRule="atLeast"/>
        <w:ind w:firstLine="708" w:left="0" w:right="0"/>
        <w:contextualSpacing w:val="false"/>
        <w:jc w:val="both"/>
      </w:pPr>
      <w:r>
        <w:rPr>
          <w:rFonts w:ascii="Times New Roman" w:cs="Times New Roman" w:hAnsi="Times New Roman"/>
          <w:sz w:val="26"/>
          <w:szCs w:val="26"/>
        </w:rPr>
        <w:t>- заказчик при размещении заказа не правильно применил код Общероссийского классификатора видов экономической деятельности (далее -  ОКДП), а именно  код 9460000 «Услуги по техническому обслуживанию машин и оборудования (в том числе гарантийное)» относится к группе 115 «Услуги по ремонту транспортных средств». Просит внести изменения в котировочную заявку.</w:t>
      </w:r>
    </w:p>
    <w:p>
      <w:pPr>
        <w:pStyle w:val="style0"/>
        <w:spacing w:after="0" w:before="0" w:line="100" w:lineRule="atLeast"/>
        <w:ind w:firstLine="708" w:left="0" w:right="0"/>
        <w:contextualSpacing w:val="false"/>
        <w:jc w:val="both"/>
      </w:pPr>
      <w:r>
        <w:rPr>
          <w:rFonts w:ascii="Times New Roman" w:cs="Times New Roman" w:hAnsi="Times New Roman"/>
          <w:sz w:val="26"/>
          <w:szCs w:val="26"/>
        </w:rPr>
        <w:t xml:space="preserve"> </w:t>
      </w:r>
      <w:r>
        <w:rPr>
          <w:rFonts w:ascii="Times New Roman" w:cs="Times New Roman" w:hAnsi="Times New Roman"/>
          <w:sz w:val="26"/>
          <w:szCs w:val="26"/>
        </w:rPr>
        <w:t>Представители заказчика не согласны с доводами, содержащимися в жалобе, считают основания, изложенные в жалобе, необоснованными. Просят признать жалобу ИП Овсяникова А.П.  необоснованной.</w:t>
      </w:r>
    </w:p>
    <w:p>
      <w:pPr>
        <w:pStyle w:val="style0"/>
        <w:spacing w:after="0" w:before="0" w:line="100" w:lineRule="atLeast"/>
        <w:ind w:firstLine="708" w:left="0" w:right="0"/>
        <w:contextualSpacing w:val="false"/>
        <w:jc w:val="both"/>
      </w:pPr>
      <w:r>
        <w:rPr>
          <w:rFonts w:ascii="Times New Roman" w:cs="Times New Roman" w:hAnsi="Times New Roman"/>
          <w:sz w:val="26"/>
          <w:szCs w:val="26"/>
        </w:rPr>
        <w:t>Заслушав мнения сторон, изучив представленные документы и материалы дела, Комиссия приходит к следующим выводам.</w:t>
      </w:r>
    </w:p>
    <w:p>
      <w:pPr>
        <w:pStyle w:val="style0"/>
        <w:spacing w:after="0" w:before="0" w:line="100" w:lineRule="atLeast"/>
        <w:ind w:firstLine="708" w:left="0" w:right="0"/>
        <w:contextualSpacing w:val="false"/>
        <w:jc w:val="both"/>
      </w:pPr>
      <w:r>
        <w:rPr>
          <w:rFonts w:ascii="Times New Roman" w:cs="Times New Roman" w:hAnsi="Times New Roman"/>
          <w:sz w:val="26"/>
          <w:szCs w:val="26"/>
        </w:rPr>
        <w:t>Заказчиком 10.06.2013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размещено извещение о проведении запроса котировок  под номером 0371200002513000090  на право заключения контракта на оказание услуг по техническому обслуживанию медицинской техники.</w:t>
      </w:r>
    </w:p>
    <w:p>
      <w:pPr>
        <w:pStyle w:val="style0"/>
        <w:spacing w:after="0" w:before="0" w:line="100" w:lineRule="atLeast"/>
        <w:ind w:firstLine="708" w:left="0" w:right="0"/>
        <w:contextualSpacing w:val="false"/>
        <w:jc w:val="both"/>
      </w:pPr>
      <w:r>
        <w:rPr>
          <w:rFonts w:ascii="Times New Roman" w:cs="Times New Roman" w:hAnsi="Times New Roman"/>
          <w:sz w:val="26"/>
          <w:szCs w:val="26"/>
        </w:rPr>
        <w:t>Начальная максимальная цена контракта 73 800 руб. 00 коп.</w:t>
      </w:r>
    </w:p>
    <w:p>
      <w:pPr>
        <w:pStyle w:val="style0"/>
        <w:spacing w:after="0" w:before="0" w:line="100" w:lineRule="atLeast"/>
        <w:ind w:firstLine="708" w:left="0" w:right="0"/>
        <w:contextualSpacing w:val="false"/>
        <w:jc w:val="both"/>
      </w:pPr>
      <w:r>
        <w:rPr>
          <w:rFonts w:ascii="Times New Roman" w:cs="Times New Roman" w:hAnsi="Times New Roman"/>
          <w:sz w:val="26"/>
          <w:szCs w:val="26"/>
        </w:rPr>
        <w:t xml:space="preserve">Предметом контракта является оказание услуг по комплексному техническому обслуживанию медицинской техники, что позволяет сделать вывод Комиссией о наличии функционирующего рынка соответствующих услуг. </w:t>
      </w:r>
    </w:p>
    <w:p>
      <w:pPr>
        <w:pStyle w:val="style0"/>
        <w:spacing w:after="0" w:before="0" w:line="100" w:lineRule="atLeast"/>
        <w:ind w:firstLine="708" w:left="0" w:right="0"/>
        <w:contextualSpacing w:val="false"/>
        <w:jc w:val="both"/>
      </w:pPr>
      <w:r>
        <w:rPr>
          <w:rFonts w:ascii="Times New Roman" w:cs="Times New Roman" w:hAnsi="Times New Roman"/>
          <w:sz w:val="26"/>
          <w:szCs w:val="26"/>
        </w:rPr>
        <w:t>Согласно перечня оборудования, подлежащего техническому обслуживанию в приложении №1 к извещению в список входят различное медицинское оборудование, подлежащее техническому обслуживанию.</w:t>
      </w:r>
    </w:p>
    <w:p>
      <w:pPr>
        <w:pStyle w:val="style0"/>
        <w:spacing w:after="0" w:before="0" w:line="100" w:lineRule="atLeast"/>
        <w:ind w:firstLine="708" w:left="0" w:right="0"/>
        <w:contextualSpacing w:val="false"/>
        <w:jc w:val="both"/>
      </w:pPr>
      <w:r>
        <w:rPr>
          <w:rFonts w:ascii="Times New Roman" w:cs="Times New Roman" w:hAnsi="Times New Roman"/>
          <w:sz w:val="26"/>
          <w:szCs w:val="26"/>
        </w:rPr>
        <w:t xml:space="preserve">Статьей 43 Федерального закона от 21.07.2005 № 94-ФЗ установлены требования, предъявляемые к запросу котировок. Указание кода ОКДП не является обязательным. </w:t>
      </w:r>
    </w:p>
    <w:p>
      <w:pPr>
        <w:pStyle w:val="style0"/>
        <w:spacing w:after="0" w:before="0" w:line="100" w:lineRule="atLeast"/>
        <w:ind w:firstLine="708" w:left="0" w:right="0"/>
        <w:contextualSpacing w:val="false"/>
        <w:jc w:val="both"/>
      </w:pPr>
      <w:r>
        <w:rPr>
          <w:rFonts w:ascii="Times New Roman" w:cs="Times New Roman" w:hAnsi="Times New Roman"/>
          <w:sz w:val="26"/>
          <w:szCs w:val="26"/>
        </w:rPr>
        <w:t>Анализ извещения о проведении запроса котировок показывает, что оно содержит необходимую и достаточную информацию, предусмотренную статьей 43 Федерального закона от 21.07.2005 № 94-ФЗ.</w:t>
      </w:r>
    </w:p>
    <w:p>
      <w:pPr>
        <w:pStyle w:val="style0"/>
        <w:spacing w:after="0" w:before="0" w:line="100" w:lineRule="atLeast"/>
        <w:ind w:firstLine="708" w:left="0" w:right="0"/>
        <w:contextualSpacing w:val="false"/>
        <w:jc w:val="both"/>
      </w:pPr>
      <w:bookmarkStart w:id="1" w:name="_GoBack"/>
      <w:bookmarkEnd w:id="1"/>
      <w:r>
        <w:rPr>
          <w:rFonts w:ascii="Times New Roman" w:cs="Times New Roman" w:hAnsi="Times New Roman"/>
          <w:sz w:val="26"/>
          <w:szCs w:val="26"/>
        </w:rPr>
        <w:t>На основании изложенного,  руководствуясь частью 5 статьи 17, частью 6 статьи 60 Федерального закона от 21 июля 2005г. № 94-ФЗ «О размещении заказов на поставки товаров, выполнение работ, оказание услуг для государственных и муниципальных нужд», Административным регламентом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года № 498, Комиссия Ярославского УФАС России по контролю в сфере размещения заказов,</w:t>
      </w:r>
    </w:p>
    <w:p>
      <w:pPr>
        <w:pStyle w:val="style0"/>
        <w:spacing w:after="0" w:before="0" w:line="100" w:lineRule="atLeast"/>
        <w:contextualSpacing w:val="false"/>
        <w:jc w:val="both"/>
      </w:pPr>
      <w:r>
        <w:rPr>
          <w:rFonts w:ascii="Times New Roman" w:cs="Times New Roman" w:hAnsi="Times New Roman"/>
          <w:sz w:val="26"/>
          <w:szCs w:val="26"/>
        </w:rPr>
      </w:r>
    </w:p>
    <w:p>
      <w:pPr>
        <w:pStyle w:val="style0"/>
        <w:spacing w:after="0" w:before="0" w:line="100" w:lineRule="atLeast"/>
        <w:ind w:firstLine="708" w:left="0" w:right="0"/>
        <w:contextualSpacing w:val="false"/>
        <w:jc w:val="both"/>
      </w:pPr>
      <w:r>
        <w:rPr>
          <w:rFonts w:ascii="Times New Roman" w:cs="Times New Roman" w:hAnsi="Times New Roman"/>
          <w:sz w:val="26"/>
          <w:szCs w:val="26"/>
        </w:rPr>
        <w:t>решила:</w:t>
      </w:r>
    </w:p>
    <w:p>
      <w:pPr>
        <w:pStyle w:val="style0"/>
        <w:spacing w:after="0" w:before="0" w:line="100" w:lineRule="atLeast"/>
        <w:contextualSpacing w:val="false"/>
        <w:jc w:val="both"/>
      </w:pPr>
      <w:r>
        <w:rPr>
          <w:rFonts w:ascii="Times New Roman" w:cs="Times New Roman" w:hAnsi="Times New Roman"/>
          <w:sz w:val="26"/>
          <w:szCs w:val="26"/>
        </w:rPr>
      </w:r>
    </w:p>
    <w:p>
      <w:pPr>
        <w:pStyle w:val="style0"/>
        <w:spacing w:after="0" w:before="0" w:line="100" w:lineRule="atLeast"/>
        <w:ind w:firstLine="708" w:left="0" w:right="0"/>
        <w:contextualSpacing w:val="false"/>
        <w:jc w:val="both"/>
      </w:pPr>
      <w:r>
        <w:rPr>
          <w:rFonts w:ascii="Times New Roman" w:cs="Times New Roman" w:hAnsi="Times New Roman"/>
          <w:sz w:val="26"/>
          <w:szCs w:val="26"/>
        </w:rPr>
        <w:t>признать жалобу ИП Овсяникова А.П. на действия заказчика -</w:t>
      </w:r>
      <w:r>
        <w:rPr/>
        <w:t xml:space="preserve"> </w:t>
      </w:r>
      <w:r>
        <w:rPr>
          <w:rFonts w:ascii="Times New Roman" w:cs="Times New Roman" w:hAnsi="Times New Roman"/>
          <w:sz w:val="26"/>
          <w:szCs w:val="26"/>
        </w:rPr>
        <w:t>ГБУЗ ЯО "Областная клиническая туберкулезная больница" - при проведении запроса котировок на право заключения контракта на оказание услуг по техническому обслуживанию медицинской техники  (извещение № 0371200002513000090)не обоснованной.</w:t>
      </w:r>
    </w:p>
    <w:p>
      <w:pPr>
        <w:pStyle w:val="style0"/>
        <w:spacing w:after="0" w:before="0" w:line="100" w:lineRule="atLeast"/>
        <w:ind w:firstLine="708" w:left="0" w:right="0"/>
        <w:contextualSpacing w:val="false"/>
        <w:jc w:val="both"/>
      </w:pPr>
      <w:r>
        <w:rPr>
          <w:rFonts w:ascii="Times New Roman" w:cs="Times New Roman" w:hAnsi="Times New Roman"/>
          <w:sz w:val="26"/>
          <w:szCs w:val="26"/>
        </w:rPr>
        <w:t>Настоящее решение может быть обжаловано в судебном порядке в течение трех месяцев со дня его принятия.</w:t>
      </w:r>
    </w:p>
    <w:p>
      <w:pPr>
        <w:pStyle w:val="style0"/>
        <w:spacing w:after="0" w:before="0" w:line="100" w:lineRule="atLeast"/>
        <w:contextualSpacing w:val="false"/>
        <w:jc w:val="both"/>
      </w:pPr>
      <w:r>
        <w:rPr>
          <w:rFonts w:ascii="Times New Roman" w:cs="Times New Roman" w:hAnsi="Times New Roman"/>
          <w:sz w:val="26"/>
          <w:szCs w:val="26"/>
        </w:rPr>
      </w:r>
    </w:p>
    <w:p>
      <w:pPr>
        <w:pStyle w:val="style0"/>
        <w:spacing w:after="0" w:before="0" w:line="100" w:lineRule="atLeast"/>
        <w:contextualSpacing w:val="false"/>
        <w:jc w:val="both"/>
      </w:pPr>
      <w:r>
        <w:rPr>
          <w:rFonts w:ascii="Times New Roman" w:cs="Times New Roman" w:hAnsi="Times New Roman"/>
          <w:sz w:val="26"/>
          <w:szCs w:val="26"/>
        </w:rPr>
      </w:r>
    </w:p>
    <w:p>
      <w:pPr>
        <w:pStyle w:val="style0"/>
        <w:spacing w:after="0" w:before="0" w:line="100" w:lineRule="atLeast"/>
        <w:contextualSpacing w:val="false"/>
        <w:jc w:val="both"/>
      </w:pPr>
      <w:r>
        <w:rPr>
          <w:rFonts w:ascii="Times New Roman" w:cs="Times New Roman" w:hAnsi="Times New Roman"/>
          <w:sz w:val="26"/>
          <w:szCs w:val="26"/>
        </w:rPr>
        <w:t>Председатель Комиссии                                                                              И.Г. Паутов</w:t>
      </w:r>
    </w:p>
    <w:p>
      <w:pPr>
        <w:pStyle w:val="style0"/>
        <w:spacing w:after="0" w:before="0" w:line="100" w:lineRule="atLeast"/>
        <w:contextualSpacing w:val="false"/>
        <w:jc w:val="both"/>
      </w:pPr>
      <w:r>
        <w:rPr>
          <w:rFonts w:ascii="Times New Roman" w:cs="Times New Roman" w:hAnsi="Times New Roman"/>
          <w:sz w:val="26"/>
          <w:szCs w:val="26"/>
        </w:rPr>
      </w:r>
    </w:p>
    <w:p>
      <w:pPr>
        <w:pStyle w:val="style0"/>
        <w:spacing w:after="0" w:before="0" w:line="100" w:lineRule="atLeast"/>
        <w:contextualSpacing w:val="false"/>
        <w:jc w:val="both"/>
      </w:pPr>
      <w:r>
        <w:rPr>
          <w:rFonts w:ascii="Times New Roman" w:cs="Times New Roman" w:hAnsi="Times New Roman"/>
          <w:sz w:val="26"/>
          <w:szCs w:val="26"/>
        </w:rPr>
        <w:t>Члены Комиссии                                                                                     Н.В. Смирнова</w:t>
      </w:r>
    </w:p>
    <w:p>
      <w:pPr>
        <w:pStyle w:val="style0"/>
        <w:spacing w:after="0" w:before="0" w:line="100" w:lineRule="atLeast"/>
        <w:contextualSpacing w:val="false"/>
        <w:jc w:val="both"/>
      </w:pPr>
      <w:r>
        <w:rPr>
          <w:rFonts w:ascii="Times New Roman" w:cs="Times New Roman" w:hAnsi="Times New Roman"/>
          <w:sz w:val="26"/>
          <w:szCs w:val="26"/>
        </w:rPr>
      </w:r>
    </w:p>
    <w:p>
      <w:pPr>
        <w:pStyle w:val="style0"/>
        <w:spacing w:after="0" w:before="0" w:line="100" w:lineRule="atLeast"/>
        <w:contextualSpacing w:val="false"/>
        <w:jc w:val="both"/>
      </w:pPr>
      <w:r>
        <w:rPr>
          <w:rFonts w:ascii="Times New Roman" w:cs="Times New Roman" w:hAnsi="Times New Roman"/>
          <w:sz w:val="26"/>
          <w:szCs w:val="26"/>
        </w:rPr>
        <w:t xml:space="preserve">                                                                                                                  </w:t>
      </w:r>
      <w:r>
        <w:rPr>
          <w:rFonts w:ascii="Times New Roman" w:cs="Times New Roman" w:hAnsi="Times New Roman"/>
          <w:sz w:val="26"/>
          <w:szCs w:val="26"/>
        </w:rPr>
        <w:t>Т.И.Запольская</w:t>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Calibri" w:eastAsia="SimSun" w:hAnsi="Calibri"/>
      <w:color w:val="auto"/>
      <w:sz w:val="22"/>
      <w:szCs w:val="22"/>
      <w:lang w:bidi="ar-SA" w:eastAsia="en-US" w:val="ru-RU"/>
    </w:rPr>
  </w:style>
  <w:style w:styleId="style15" w:type="character">
    <w:name w:val="Default Paragraph Font"/>
    <w:next w:val="style15"/>
    <w:rPr/>
  </w:style>
  <w:style w:styleId="style16" w:type="paragraph">
    <w:name w:val="Заголовок"/>
    <w:basedOn w:val="style0"/>
    <w:next w:val="style17"/>
    <w:pPr>
      <w:keepNext/>
      <w:spacing w:after="120" w:before="240"/>
      <w:contextualSpacing w:val="false"/>
    </w:pPr>
    <w:rPr>
      <w:rFonts w:ascii="Arial" w:cs="Mangal" w:eastAsia="Microsoft YaHei" w:hAnsi="Arial"/>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Mangal"/>
    </w:rPr>
  </w:style>
  <w:style w:styleId="style19" w:type="paragraph">
    <w:name w:val="Название"/>
    <w:basedOn w:val="style0"/>
    <w:next w:val="style19"/>
    <w:pPr>
      <w:suppressLineNumbers/>
      <w:spacing w:after="120" w:before="120"/>
      <w:contextualSpacing w:val="false"/>
    </w:pPr>
    <w:rPr>
      <w:rFonts w:cs="Mangal"/>
      <w:i/>
      <w:iCs/>
      <w:sz w:val="24"/>
      <w:szCs w:val="24"/>
    </w:rPr>
  </w:style>
  <w:style w:styleId="style20" w:type="paragraph">
    <w:name w:val="Указатель"/>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2013-06-27T04:47:00.00Z</dcterms:created>
  <dc:creator>Владелец</dc:creator>
  <cp:lastModifiedBy>Владелец</cp:lastModifiedBy>
  <cp:lastPrinted>2013-06-28T04:39:00.00Z</cp:lastPrinted>
  <dcterms:modified xsi:type="dcterms:W3CDTF">2013-06-28T04:43:00.00Z</dcterms:modified>
  <cp:revision>5</cp:revision>
</cp:coreProperties>
</file>